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EC42E">
      <w:pPr>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eastAsia" w:eastAsia="黑体" w:cs="Times New Roman"/>
          <w:bCs/>
          <w:color w:val="auto"/>
          <w:sz w:val="32"/>
          <w:szCs w:val="32"/>
          <w:lang w:val="en-US" w:eastAsia="zh-CN"/>
        </w:rPr>
        <w:t>1</w:t>
      </w:r>
    </w:p>
    <w:p w14:paraId="048A2647">
      <w:pPr>
        <w:pStyle w:val="2"/>
        <w:jc w:val="center"/>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授权委托书</w:t>
      </w:r>
    </w:p>
    <w:p w14:paraId="222709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仿宋" w:hAnsi="仿宋" w:eastAsia="仿宋" w:cs="仿宋"/>
          <w:color w:val="auto"/>
          <w:sz w:val="28"/>
          <w:szCs w:val="28"/>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lang w:val="en-US" w:eastAsia="zh-CN"/>
        </w:rPr>
        <w:t>公司（以下简称“本公司”），系根据中华人民共和国法律设立并存续的公司，其注册地在</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lang w:val="en-US" w:eastAsia="zh-CN"/>
        </w:rPr>
        <w:t>。根据本公司做出的决定，谨郑重授权</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（姓名、职务）为本公司正式合法的授权代理人，该代理人有权代表本公司参加（项目名称）的</w:t>
      </w:r>
      <w:r>
        <w:rPr>
          <w:rFonts w:hint="eastAsia" w:eastAsia="仿宋_GB2312" w:cs="Times New Roman"/>
          <w:color w:val="auto"/>
          <w:sz w:val="32"/>
          <w:szCs w:val="32"/>
          <w:highlight w:val="none"/>
          <w:lang w:val="en-US" w:eastAsia="zh-CN"/>
        </w:rPr>
        <w:t>询价</w:t>
      </w:r>
      <w:r>
        <w:rPr>
          <w:rFonts w:hint="eastAsia" w:ascii="Times New Roman" w:hAnsi="Times New Roman" w:eastAsia="仿宋_GB2312" w:cs="Times New Roman"/>
          <w:color w:val="auto"/>
          <w:sz w:val="32"/>
          <w:szCs w:val="32"/>
          <w:highlight w:val="none"/>
          <w:lang w:val="en-US" w:eastAsia="zh-CN"/>
        </w:rPr>
        <w:t>活动，代理人在</w:t>
      </w:r>
      <w:r>
        <w:rPr>
          <w:rFonts w:hint="eastAsia" w:eastAsia="仿宋_GB2312" w:cs="Times New Roman"/>
          <w:color w:val="auto"/>
          <w:sz w:val="32"/>
          <w:szCs w:val="32"/>
          <w:highlight w:val="none"/>
          <w:lang w:val="en-US" w:eastAsia="zh-CN"/>
        </w:rPr>
        <w:t>询价</w:t>
      </w:r>
      <w:r>
        <w:rPr>
          <w:rFonts w:hint="eastAsia" w:ascii="Times New Roman" w:hAnsi="Times New Roman" w:eastAsia="仿宋_GB2312" w:cs="Times New Roman"/>
          <w:color w:val="auto"/>
          <w:sz w:val="32"/>
          <w:szCs w:val="32"/>
          <w:highlight w:val="none"/>
          <w:lang w:val="en-US" w:eastAsia="zh-CN"/>
        </w:rPr>
        <w:t>及合同执行过程中，代表本公司处理一切与之有关的事务，本公司均予以认可。</w:t>
      </w:r>
    </w:p>
    <w:p w14:paraId="63F7C0C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代理人无权转委托。</w:t>
      </w:r>
    </w:p>
    <w:p w14:paraId="1E27EBC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本授权书于      年    月    日签字生效，特此声明。</w:t>
      </w:r>
    </w:p>
    <w:p w14:paraId="5707F00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p>
    <w:p w14:paraId="031AFB5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报价人名称（盖章）：  </w:t>
      </w:r>
    </w:p>
    <w:p w14:paraId="2C8358A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p>
    <w:p w14:paraId="46F623B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法定代表人（签字）：</w:t>
      </w:r>
    </w:p>
    <w:p w14:paraId="6736686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身份证号：</w:t>
      </w:r>
    </w:p>
    <w:p w14:paraId="7F0FF73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p>
    <w:p w14:paraId="2922E18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代理人（签字）：</w:t>
      </w:r>
    </w:p>
    <w:p w14:paraId="43E9469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身份证号： </w:t>
      </w:r>
    </w:p>
    <w:p w14:paraId="1B43099A">
      <w:pPr>
        <w:pStyle w:val="2"/>
        <w:rPr>
          <w:rFonts w:hint="default"/>
          <w:lang w:val="en-US" w:eastAsia="zh-CN"/>
        </w:rPr>
      </w:pPr>
      <w:r>
        <w:rPr>
          <w:rFonts w:hint="eastAsia" w:ascii="Times New Roman" w:hAnsi="Times New Roman" w:eastAsia="仿宋_GB2312" w:cs="Times New Roman"/>
          <w:color w:val="auto"/>
          <w:sz w:val="32"/>
          <w:szCs w:val="32"/>
          <w:highlight w:val="none"/>
          <w:lang w:val="en-US" w:eastAsia="zh-CN"/>
        </w:rPr>
        <w:t>联系电话：</w:t>
      </w:r>
    </w:p>
    <w:p w14:paraId="2D90D5E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年    月    日</w:t>
      </w:r>
    </w:p>
    <w:p w14:paraId="028B7D7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32"/>
          <w:szCs w:val="32"/>
          <w:highlight w:val="none"/>
          <w:lang w:val="en-US" w:eastAsia="zh-CN"/>
        </w:rPr>
      </w:pPr>
    </w:p>
    <w:p w14:paraId="501F652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附：1.法定代表人及代理人身份证复印件（需加盖单位公章）</w:t>
      </w:r>
    </w:p>
    <w:p w14:paraId="1FCAB54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2.法定代表人直接参加不须提供，但须提供法定代表人证明原件</w:t>
      </w:r>
    </w:p>
    <w:p w14:paraId="342FAFEE">
      <w:pPr>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eastAsia="zh-CN"/>
        </w:rPr>
        <w:t>附件</w:t>
      </w:r>
      <w:r>
        <w:rPr>
          <w:rFonts w:hint="eastAsia" w:eastAsia="黑体" w:cs="Times New Roman"/>
          <w:bCs/>
          <w:color w:val="auto"/>
          <w:sz w:val="32"/>
          <w:szCs w:val="32"/>
          <w:lang w:val="en-US" w:eastAsia="zh-CN"/>
        </w:rPr>
        <w:t>2</w:t>
      </w:r>
    </w:p>
    <w:p w14:paraId="3F6AC677">
      <w:pPr>
        <w:pStyle w:val="2"/>
        <w:jc w:val="center"/>
        <w:rPr>
          <w:rFonts w:hint="default"/>
          <w:lang w:eastAsia="zh-CN"/>
        </w:rPr>
      </w:pPr>
      <w:r>
        <w:rPr>
          <w:rFonts w:hint="eastAsia" w:ascii="Times New Roman" w:hAnsi="Times New Roman" w:eastAsia="仿宋_GB2312" w:cs="Times New Roman"/>
          <w:b/>
          <w:bCs/>
          <w:color w:val="auto"/>
          <w:sz w:val="32"/>
          <w:szCs w:val="32"/>
          <w:highlight w:val="none"/>
          <w:lang w:val="en-US" w:eastAsia="zh-CN"/>
        </w:rPr>
        <w:t>营业执照</w:t>
      </w:r>
      <w:r>
        <w:rPr>
          <w:rFonts w:hint="eastAsia" w:eastAsia="仿宋_GB2312" w:cs="Times New Roman"/>
          <w:b/>
          <w:bCs/>
          <w:color w:val="auto"/>
          <w:sz w:val="32"/>
          <w:szCs w:val="32"/>
          <w:highlight w:val="none"/>
          <w:lang w:val="en-US" w:eastAsia="zh-CN"/>
        </w:rPr>
        <w:t>等相关资料</w:t>
      </w:r>
    </w:p>
    <w:p w14:paraId="2E13A890">
      <w:pPr>
        <w:pStyle w:val="2"/>
        <w:rPr>
          <w:rFonts w:hint="default"/>
          <w:lang w:eastAsia="zh-CN"/>
        </w:rPr>
      </w:pPr>
    </w:p>
    <w:p w14:paraId="21D16F17">
      <w:pPr>
        <w:rPr>
          <w:rFonts w:hint="default"/>
          <w:lang w:eastAsia="zh-CN"/>
        </w:rPr>
      </w:pPr>
    </w:p>
    <w:p w14:paraId="0670960F">
      <w:pPr>
        <w:pStyle w:val="2"/>
        <w:rPr>
          <w:rFonts w:hint="default"/>
          <w:lang w:eastAsia="zh-CN"/>
        </w:rPr>
      </w:pPr>
    </w:p>
    <w:p w14:paraId="6E2B51D6">
      <w:pPr>
        <w:rPr>
          <w:rFonts w:hint="default"/>
          <w:lang w:eastAsia="zh-CN"/>
        </w:rPr>
      </w:pPr>
    </w:p>
    <w:p w14:paraId="2B72C629">
      <w:pPr>
        <w:pStyle w:val="2"/>
        <w:rPr>
          <w:rFonts w:hint="default"/>
          <w:lang w:eastAsia="zh-CN"/>
        </w:rPr>
      </w:pPr>
    </w:p>
    <w:p w14:paraId="4239B85A">
      <w:pPr>
        <w:rPr>
          <w:rFonts w:hint="default"/>
          <w:lang w:eastAsia="zh-CN"/>
        </w:rPr>
      </w:pPr>
    </w:p>
    <w:p w14:paraId="7FB36288">
      <w:pPr>
        <w:pStyle w:val="2"/>
        <w:rPr>
          <w:rFonts w:hint="default"/>
          <w:lang w:eastAsia="zh-CN"/>
        </w:rPr>
      </w:pPr>
    </w:p>
    <w:p w14:paraId="15B8F839">
      <w:pPr>
        <w:rPr>
          <w:rFonts w:hint="default" w:ascii="Times New Roman" w:hAnsi="Times New Roman" w:eastAsia="黑体" w:cs="Times New Roman"/>
          <w:bCs/>
          <w:color w:val="auto"/>
          <w:sz w:val="32"/>
          <w:szCs w:val="32"/>
          <w:highlight w:val="none"/>
          <w:lang w:eastAsia="zh-CN"/>
        </w:rPr>
        <w:sectPr>
          <w:pgSz w:w="11906" w:h="16838"/>
          <w:pgMar w:top="1440" w:right="1800" w:bottom="1440" w:left="1800" w:header="851" w:footer="992" w:gutter="0"/>
          <w:cols w:space="425" w:num="1"/>
          <w:docGrid w:type="lines" w:linePitch="312" w:charSpace="0"/>
        </w:sectPr>
      </w:pPr>
      <w:bookmarkStart w:id="0" w:name="_GoBack"/>
      <w:bookmarkEnd w:id="0"/>
    </w:p>
    <w:p w14:paraId="68E16CC0">
      <w:pPr>
        <w:rPr>
          <w:rFonts w:hint="default" w:ascii="Times New Roman" w:hAnsi="Times New Roman"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lang w:eastAsia="zh-CN"/>
        </w:rPr>
        <w:t>附件</w:t>
      </w:r>
      <w:r>
        <w:rPr>
          <w:rFonts w:hint="eastAsia" w:eastAsia="黑体" w:cs="Times New Roman"/>
          <w:bCs/>
          <w:color w:val="auto"/>
          <w:sz w:val="32"/>
          <w:szCs w:val="32"/>
          <w:highlight w:val="none"/>
          <w:lang w:val="en-US" w:eastAsia="zh-CN"/>
        </w:rPr>
        <w:t>3</w:t>
      </w:r>
    </w:p>
    <w:p w14:paraId="10FD791E">
      <w:pPr>
        <w:jc w:val="center"/>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报价函</w:t>
      </w:r>
    </w:p>
    <w:p w14:paraId="7D3A78E8">
      <w:pPr>
        <w:pStyle w:val="2"/>
        <w:rPr>
          <w:rFonts w:hint="default" w:ascii="Times New Roman" w:hAnsi="Times New Roman" w:eastAsia="仿宋_GB2312" w:cs="Times New Roman"/>
          <w:color w:val="auto"/>
          <w:sz w:val="32"/>
          <w:szCs w:val="32"/>
          <w:highlight w:val="none"/>
        </w:rPr>
      </w:pPr>
    </w:p>
    <w:p w14:paraId="63F8C44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四川中彩源工程有限公司</w:t>
      </w:r>
      <w:r>
        <w:rPr>
          <w:rFonts w:hint="default" w:ascii="Times New Roman" w:hAnsi="Times New Roman" w:eastAsia="仿宋_GB2312" w:cs="Times New Roman"/>
          <w:color w:val="auto"/>
          <w:sz w:val="32"/>
          <w:szCs w:val="32"/>
          <w:highlight w:val="none"/>
        </w:rPr>
        <w:t>：</w:t>
      </w:r>
    </w:p>
    <w:p w14:paraId="248604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color w:val="auto"/>
          <w:sz w:val="32"/>
          <w:szCs w:val="32"/>
          <w:highlight w:val="none"/>
        </w:rPr>
      </w:pPr>
      <w:r>
        <w:rPr>
          <w:rFonts w:hint="default" w:ascii="Times New Roman" w:hAnsi="Times New Roman" w:eastAsia="仿宋_GB2312" w:cs="Times New Roman"/>
          <w:color w:val="auto"/>
          <w:sz w:val="32"/>
          <w:szCs w:val="32"/>
          <w:highlight w:val="none"/>
        </w:rPr>
        <w:t>关于</w:t>
      </w:r>
      <w:r>
        <w:rPr>
          <w:rFonts w:hint="default" w:ascii="Times New Roman" w:hAnsi="Times New Roman" w:eastAsia="仿宋_GB2312" w:cs="Times New Roman"/>
          <w:color w:val="auto"/>
          <w:sz w:val="32"/>
          <w:szCs w:val="32"/>
          <w:highlight w:val="none"/>
          <w:u w:val="single"/>
          <w:lang w:val="en-US" w:eastAsia="zh-CN"/>
        </w:rPr>
        <w:t>广汉市航天航空科技孵化产业园项目—一标段</w:t>
      </w:r>
      <w:r>
        <w:rPr>
          <w:rFonts w:hint="eastAsia" w:eastAsia="仿宋_GB2312" w:cs="Times New Roman"/>
          <w:color w:val="auto"/>
          <w:sz w:val="32"/>
          <w:szCs w:val="32"/>
          <w:highlight w:val="none"/>
          <w:u w:val="single"/>
          <w:lang w:val="en-US" w:eastAsia="zh-CN"/>
        </w:rPr>
        <w:t>成品羽毛球围网</w:t>
      </w:r>
      <w:r>
        <w:rPr>
          <w:rFonts w:hint="eastAsia" w:eastAsia="仿宋_GB2312" w:cs="Times New Roman"/>
          <w:color w:val="auto"/>
          <w:sz w:val="32"/>
          <w:szCs w:val="32"/>
          <w:highlight w:val="none"/>
          <w:u w:val="none"/>
          <w:lang w:val="en-US" w:eastAsia="zh-CN"/>
        </w:rPr>
        <w:t>询价价格事宜</w:t>
      </w:r>
      <w:r>
        <w:rPr>
          <w:rFonts w:hint="default" w:ascii="Times New Roman" w:hAnsi="Times New Roman" w:eastAsia="仿宋_GB2312" w:cs="Times New Roman"/>
          <w:color w:val="auto"/>
          <w:sz w:val="32"/>
          <w:szCs w:val="32"/>
          <w:highlight w:val="none"/>
        </w:rPr>
        <w:t>，结合</w:t>
      </w:r>
      <w:r>
        <w:rPr>
          <w:rFonts w:hint="eastAsia" w:eastAsia="仿宋_GB2312" w:cs="Times New Roman"/>
          <w:color w:val="auto"/>
          <w:sz w:val="32"/>
          <w:szCs w:val="32"/>
          <w:highlight w:val="none"/>
          <w:lang w:val="en-US" w:eastAsia="zh-CN"/>
        </w:rPr>
        <w:t>询价函及相关</w:t>
      </w:r>
      <w:r>
        <w:rPr>
          <w:rFonts w:hint="default" w:ascii="Times New Roman" w:hAnsi="Times New Roman" w:eastAsia="仿宋_GB2312" w:cs="Times New Roman"/>
          <w:color w:val="auto"/>
          <w:sz w:val="32"/>
          <w:szCs w:val="32"/>
          <w:highlight w:val="none"/>
          <w:lang w:val="en-US" w:eastAsia="zh-CN"/>
        </w:rPr>
        <w:t>情况</w:t>
      </w:r>
      <w:r>
        <w:rPr>
          <w:rFonts w:hint="default" w:ascii="Times New Roman" w:hAnsi="Times New Roman" w:eastAsia="仿宋_GB2312" w:cs="Times New Roman"/>
          <w:color w:val="auto"/>
          <w:sz w:val="32"/>
          <w:szCs w:val="32"/>
          <w:highlight w:val="none"/>
        </w:rPr>
        <w:t>，经仔细研究决定，我方</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（单位</w:t>
      </w:r>
      <w:r>
        <w:rPr>
          <w:rFonts w:hint="default" w:ascii="Times New Roman" w:hAnsi="Times New Roman" w:eastAsia="仿宋_GB2312" w:cs="Times New Roman"/>
          <w:color w:val="auto"/>
          <w:sz w:val="32"/>
          <w:szCs w:val="32"/>
          <w:highlight w:val="none"/>
          <w:u w:val="single"/>
          <w:lang w:eastAsia="zh-CN"/>
        </w:rPr>
        <w:t>名称</w:t>
      </w:r>
      <w:r>
        <w:rPr>
          <w:rFonts w:hint="default" w:ascii="Times New Roman" w:hAnsi="Times New Roman" w:eastAsia="仿宋_GB2312" w:cs="Times New Roman"/>
          <w:color w:val="auto"/>
          <w:sz w:val="32"/>
          <w:szCs w:val="32"/>
          <w:highlight w:val="none"/>
          <w:u w:val="single"/>
        </w:rPr>
        <w:t>）</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关于</w:t>
      </w:r>
      <w:r>
        <w:rPr>
          <w:rFonts w:hint="eastAsia" w:eastAsia="仿宋_GB2312" w:cs="Times New Roman"/>
          <w:color w:val="auto"/>
          <w:sz w:val="32"/>
          <w:szCs w:val="32"/>
          <w:highlight w:val="none"/>
          <w:u w:val="none"/>
          <w:lang w:val="en-US" w:eastAsia="zh-CN"/>
        </w:rPr>
        <w:t>成品羽毛球围网综合</w:t>
      </w:r>
      <w:r>
        <w:rPr>
          <w:rFonts w:hint="default" w:ascii="Times New Roman" w:hAnsi="Times New Roman" w:eastAsia="仿宋_GB2312" w:cs="Times New Roman"/>
          <w:color w:val="auto"/>
          <w:sz w:val="32"/>
          <w:szCs w:val="32"/>
          <w:highlight w:val="none"/>
          <w:u w:val="none"/>
          <w:lang w:val="en-US" w:eastAsia="zh-CN"/>
        </w:rPr>
        <w:t>报价</w:t>
      </w:r>
      <w:r>
        <w:rPr>
          <w:rFonts w:hint="default" w:ascii="Times New Roman" w:hAnsi="Times New Roman" w:eastAsia="仿宋_GB2312" w:cs="Times New Roman"/>
          <w:color w:val="auto"/>
          <w:sz w:val="32"/>
          <w:szCs w:val="32"/>
          <w:highlight w:val="none"/>
        </w:rPr>
        <w:t>为</w:t>
      </w:r>
      <w:r>
        <w:rPr>
          <w:rFonts w:hint="eastAsia" w:eastAsia="仿宋_GB2312" w:cs="Times New Roman"/>
          <w:color w:val="auto"/>
          <w:sz w:val="32"/>
          <w:szCs w:val="32"/>
          <w:highlight w:val="none"/>
          <w:lang w:val="en-US" w:eastAsia="zh-CN"/>
        </w:rPr>
        <w:t>含税</w:t>
      </w:r>
      <w:r>
        <w:rPr>
          <w:rFonts w:hint="default" w:ascii="Times New Roman" w:hAnsi="Times New Roman" w:eastAsia="仿宋_GB2312" w:cs="Times New Roman"/>
          <w:b w:val="0"/>
          <w:color w:val="auto"/>
          <w:sz w:val="32"/>
          <w:szCs w:val="32"/>
          <w:highlight w:val="none"/>
          <w:u w:val="single"/>
        </w:rPr>
        <w:t xml:space="preserve">    </w:t>
      </w:r>
      <w:r>
        <w:rPr>
          <w:rFonts w:hint="default" w:ascii="Times New Roman" w:hAnsi="Times New Roman" w:eastAsia="仿宋_GB2312" w:cs="Times New Roman"/>
          <w:b w:val="0"/>
          <w:color w:val="auto"/>
          <w:sz w:val="32"/>
          <w:szCs w:val="32"/>
          <w:highlight w:val="none"/>
        </w:rPr>
        <w:t>元</w:t>
      </w:r>
      <w:r>
        <w:rPr>
          <w:rFonts w:hint="eastAsia" w:ascii="Times New Roman" w:hAnsi="Times New Roman" w:eastAsia="仿宋_GB2312" w:cs="Times New Roman"/>
          <w:b w:val="0"/>
          <w:color w:val="auto"/>
          <w:sz w:val="32"/>
          <w:szCs w:val="32"/>
          <w:highlight w:val="none"/>
          <w:lang w:eastAsia="zh-CN"/>
        </w:rPr>
        <w:t>（</w:t>
      </w:r>
      <w:r>
        <w:rPr>
          <w:rFonts w:hint="eastAsia" w:eastAsia="仿宋_GB2312" w:cs="Times New Roman"/>
          <w:b w:val="0"/>
          <w:color w:val="auto"/>
          <w:sz w:val="32"/>
          <w:szCs w:val="32"/>
          <w:highlight w:val="none"/>
          <w:lang w:val="en-US" w:eastAsia="zh-CN"/>
        </w:rPr>
        <w:t>大写：</w:t>
      </w:r>
      <w:r>
        <w:rPr>
          <w:rFonts w:hint="eastAsia" w:eastAsia="仿宋_GB2312" w:cs="Times New Roman"/>
          <w:b w:val="0"/>
          <w:color w:val="auto"/>
          <w:sz w:val="32"/>
          <w:szCs w:val="32"/>
          <w:highlight w:val="none"/>
          <w:u w:val="single"/>
          <w:lang w:val="en-US" w:eastAsia="zh-CN"/>
        </w:rPr>
        <w:t xml:space="preserve">            </w:t>
      </w:r>
      <w:r>
        <w:rPr>
          <w:rFonts w:hint="eastAsia" w:ascii="Times New Roman" w:hAnsi="Times New Roman" w:eastAsia="仿宋_GB2312" w:cs="Times New Roman"/>
          <w:b w:val="0"/>
          <w:color w:val="auto"/>
          <w:sz w:val="32"/>
          <w:szCs w:val="32"/>
          <w:highlight w:val="none"/>
          <w:lang w:eastAsia="zh-CN"/>
        </w:rPr>
        <w:t>），</w:t>
      </w:r>
      <w:r>
        <w:rPr>
          <w:rFonts w:hint="eastAsia" w:eastAsia="仿宋_GB2312" w:cs="Times New Roman"/>
          <w:b w:val="0"/>
          <w:color w:val="auto"/>
          <w:sz w:val="32"/>
          <w:szCs w:val="32"/>
          <w:highlight w:val="none"/>
          <w:lang w:val="en-US" w:eastAsia="zh-CN"/>
        </w:rPr>
        <w:t>含税总价为</w:t>
      </w:r>
      <w:r>
        <w:rPr>
          <w:rFonts w:hint="eastAsia" w:eastAsia="仿宋_GB2312" w:cs="Times New Roman"/>
          <w:b w:val="0"/>
          <w:color w:val="auto"/>
          <w:sz w:val="32"/>
          <w:szCs w:val="32"/>
          <w:highlight w:val="none"/>
          <w:u w:val="single"/>
          <w:lang w:val="en-US" w:eastAsia="zh-CN"/>
        </w:rPr>
        <w:t xml:space="preserve">            </w:t>
      </w:r>
      <w:r>
        <w:rPr>
          <w:rFonts w:hint="default" w:ascii="Times New Roman" w:hAnsi="Times New Roman" w:eastAsia="仿宋_GB2312" w:cs="Times New Roman"/>
          <w:b w:val="0"/>
          <w:color w:val="auto"/>
          <w:sz w:val="32"/>
          <w:szCs w:val="32"/>
          <w:highlight w:val="none"/>
        </w:rPr>
        <w:t>（</w:t>
      </w:r>
      <w:r>
        <w:rPr>
          <w:rFonts w:hint="default" w:ascii="Times New Roman" w:hAnsi="Times New Roman" w:eastAsia="仿宋_GB2312" w:cs="Times New Roman"/>
          <w:b w:val="0"/>
          <w:color w:val="auto"/>
          <w:sz w:val="32"/>
          <w:szCs w:val="32"/>
          <w:highlight w:val="none"/>
          <w:u w:val="none"/>
        </w:rPr>
        <w:t>大写：</w:t>
      </w:r>
      <w:r>
        <w:rPr>
          <w:rFonts w:hint="default" w:ascii="Times New Roman" w:hAnsi="Times New Roman" w:eastAsia="仿宋_GB2312" w:cs="Times New Roman"/>
          <w:b w:val="0"/>
          <w:color w:val="auto"/>
          <w:sz w:val="32"/>
          <w:szCs w:val="32"/>
          <w:highlight w:val="none"/>
          <w:u w:val="single"/>
        </w:rPr>
        <w:t xml:space="preserve">         </w:t>
      </w:r>
      <w:r>
        <w:rPr>
          <w:rFonts w:hint="default" w:ascii="Times New Roman" w:hAnsi="Times New Roman" w:eastAsia="仿宋_GB2312" w:cs="Times New Roman"/>
          <w:b w:val="0"/>
          <w:color w:val="auto"/>
          <w:sz w:val="32"/>
          <w:szCs w:val="32"/>
          <w:highlight w:val="none"/>
        </w:rPr>
        <w:t>）</w:t>
      </w:r>
      <w:r>
        <w:rPr>
          <w:rFonts w:hint="eastAsia" w:eastAsia="仿宋_GB2312" w:cs="Times New Roman"/>
          <w:b w:val="0"/>
          <w:color w:val="auto"/>
          <w:sz w:val="32"/>
          <w:szCs w:val="32"/>
          <w:highlight w:val="none"/>
          <w:lang w:eastAsia="zh-CN"/>
        </w:rPr>
        <w:t>，</w:t>
      </w:r>
      <w:r>
        <w:rPr>
          <w:rFonts w:hint="eastAsia" w:ascii="Times New Roman" w:hAnsi="Times New Roman" w:eastAsia="仿宋_GB2312" w:cs="Times New Roman"/>
          <w:b w:val="0"/>
          <w:color w:val="auto"/>
          <w:sz w:val="32"/>
          <w:szCs w:val="32"/>
          <w:highlight w:val="none"/>
          <w:lang w:val="en-US" w:eastAsia="zh-CN"/>
        </w:rPr>
        <w:t>税率</w:t>
      </w:r>
      <w:r>
        <w:rPr>
          <w:rFonts w:hint="default" w:ascii="Times New Roman" w:hAnsi="Times New Roman" w:eastAsia="仿宋_GB2312" w:cs="Times New Roman"/>
          <w:b w:val="0"/>
          <w:color w:val="auto"/>
          <w:sz w:val="32"/>
          <w:szCs w:val="32"/>
          <w:highlight w:val="none"/>
          <w:u w:val="single"/>
        </w:rPr>
        <w:t xml:space="preserve">   </w:t>
      </w:r>
      <w:r>
        <w:rPr>
          <w:rFonts w:hint="eastAsia" w:eastAsia="仿宋_GB2312" w:cs="Times New Roman"/>
          <w:b w:val="0"/>
          <w:color w:val="auto"/>
          <w:sz w:val="32"/>
          <w:szCs w:val="32"/>
          <w:highlight w:val="none"/>
          <w:u w:val="single"/>
          <w:lang w:val="en-US" w:eastAsia="zh-CN"/>
        </w:rPr>
        <w:t xml:space="preserve">  </w:t>
      </w:r>
      <w:r>
        <w:rPr>
          <w:rFonts w:hint="eastAsia" w:ascii="Times New Roman" w:hAnsi="Times New Roman" w:eastAsia="仿宋_GB2312" w:cs="Times New Roman"/>
          <w:b w:val="0"/>
          <w:color w:val="auto"/>
          <w:sz w:val="32"/>
          <w:szCs w:val="32"/>
          <w:highlight w:val="none"/>
          <w:u w:val="single"/>
          <w:lang w:val="en-US" w:eastAsia="zh-CN"/>
        </w:rPr>
        <w:t xml:space="preserve">  </w:t>
      </w:r>
      <w:r>
        <w:rPr>
          <w:rFonts w:hint="default" w:ascii="Times New Roman" w:hAnsi="Times New Roman" w:eastAsia="仿宋_GB2312" w:cs="Times New Roman"/>
          <w:b w:val="0"/>
          <w:color w:val="auto"/>
          <w:sz w:val="32"/>
          <w:szCs w:val="32"/>
          <w:highlight w:val="none"/>
        </w:rPr>
        <w:t>。</w:t>
      </w:r>
    </w:p>
    <w:p w14:paraId="7B4CC671">
      <w:pPr>
        <w:spacing w:line="480" w:lineRule="auto"/>
        <w:rPr>
          <w:rFonts w:hint="default" w:ascii="Times New Roman" w:hAnsi="Times New Roman" w:eastAsia="仿宋_GB2312" w:cs="Times New Roman"/>
          <w:color w:val="auto"/>
          <w:sz w:val="32"/>
          <w:szCs w:val="32"/>
          <w:highlight w:val="none"/>
        </w:rPr>
      </w:pPr>
    </w:p>
    <w:p w14:paraId="7F19A0CF">
      <w:pPr>
        <w:spacing w:line="480" w:lineRule="auto"/>
        <w:ind w:firstLine="420" w:firstLineChars="200"/>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注： 所有报价均用人民币表示，</w:t>
      </w:r>
      <w:r>
        <w:rPr>
          <w:rFonts w:hint="eastAsia" w:ascii="Times New Roman" w:hAnsi="Times New Roman" w:eastAsia="仿宋_GB2312" w:cs="Times New Roman"/>
          <w:color w:val="auto"/>
          <w:sz w:val="21"/>
          <w:szCs w:val="21"/>
          <w:highlight w:val="none"/>
          <w:lang w:val="en-US" w:eastAsia="zh-CN"/>
        </w:rPr>
        <w:t>采用包干总价方式</w:t>
      </w:r>
      <w:r>
        <w:rPr>
          <w:rFonts w:hint="default" w:ascii="Times New Roman" w:hAnsi="Times New Roman" w:eastAsia="仿宋_GB2312" w:cs="Times New Roman"/>
          <w:color w:val="auto"/>
          <w:sz w:val="21"/>
          <w:szCs w:val="21"/>
          <w:highlight w:val="none"/>
          <w:lang w:val="en-US" w:eastAsia="zh-CN"/>
        </w:rPr>
        <w:t>，包括但不限于</w:t>
      </w:r>
      <w:r>
        <w:rPr>
          <w:rFonts w:hint="eastAsia" w:ascii="Times New Roman" w:hAnsi="Times New Roman" w:eastAsia="仿宋_GB2312" w:cs="Times New Roman"/>
          <w:color w:val="auto"/>
          <w:sz w:val="21"/>
          <w:szCs w:val="21"/>
          <w:highlight w:val="none"/>
          <w:lang w:val="en-US" w:eastAsia="zh-CN"/>
        </w:rPr>
        <w:t>材料费、安装费</w:t>
      </w:r>
      <w:r>
        <w:rPr>
          <w:rFonts w:hint="default" w:ascii="Times New Roman" w:hAnsi="Times New Roman" w:eastAsia="仿宋_GB2312" w:cs="Times New Roman"/>
          <w:color w:val="auto"/>
          <w:sz w:val="21"/>
          <w:szCs w:val="21"/>
          <w:highlight w:val="none"/>
          <w:lang w:val="en-US" w:eastAsia="zh-CN"/>
        </w:rPr>
        <w:t>、</w:t>
      </w:r>
      <w:r>
        <w:rPr>
          <w:rFonts w:hint="eastAsia" w:ascii="Times New Roman" w:hAnsi="Times New Roman" w:eastAsia="仿宋_GB2312" w:cs="Times New Roman"/>
          <w:color w:val="auto"/>
          <w:sz w:val="21"/>
          <w:szCs w:val="21"/>
          <w:highlight w:val="none"/>
          <w:lang w:val="en-US" w:eastAsia="zh-CN"/>
        </w:rPr>
        <w:t>措施及安全文明施工、利润、税金</w:t>
      </w:r>
      <w:r>
        <w:rPr>
          <w:rFonts w:hint="default" w:ascii="Times New Roman" w:hAnsi="Times New Roman" w:eastAsia="仿宋_GB2312" w:cs="Times New Roman"/>
          <w:color w:val="auto"/>
          <w:sz w:val="21"/>
          <w:szCs w:val="21"/>
          <w:highlight w:val="none"/>
          <w:lang w:val="en-US" w:eastAsia="zh-CN"/>
        </w:rPr>
        <w:t>等为完成本项目</w:t>
      </w:r>
      <w:r>
        <w:rPr>
          <w:rFonts w:hint="eastAsia" w:eastAsia="仿宋_GB2312" w:cs="Times New Roman"/>
          <w:color w:val="auto"/>
          <w:sz w:val="21"/>
          <w:szCs w:val="21"/>
          <w:highlight w:val="none"/>
          <w:lang w:val="en-US" w:eastAsia="zh-CN"/>
        </w:rPr>
        <w:t>成品羽毛球围网</w:t>
      </w:r>
      <w:r>
        <w:rPr>
          <w:rFonts w:hint="eastAsia" w:ascii="Times New Roman" w:hAnsi="Times New Roman" w:eastAsia="仿宋_GB2312" w:cs="Times New Roman"/>
          <w:color w:val="auto"/>
          <w:sz w:val="21"/>
          <w:szCs w:val="21"/>
          <w:highlight w:val="none"/>
          <w:lang w:val="en-US" w:eastAsia="zh-CN"/>
        </w:rPr>
        <w:t>和座凳安装的</w:t>
      </w:r>
      <w:r>
        <w:rPr>
          <w:rFonts w:hint="default" w:ascii="Times New Roman" w:hAnsi="Times New Roman" w:eastAsia="仿宋_GB2312" w:cs="Times New Roman"/>
          <w:color w:val="auto"/>
          <w:sz w:val="21"/>
          <w:szCs w:val="21"/>
          <w:highlight w:val="none"/>
          <w:lang w:val="en-US" w:eastAsia="zh-CN"/>
        </w:rPr>
        <w:t>所有费用。</w:t>
      </w:r>
    </w:p>
    <w:p w14:paraId="5D9D097F">
      <w:pPr>
        <w:pStyle w:val="2"/>
        <w:rPr>
          <w:rFonts w:hint="default" w:ascii="Times New Roman" w:hAnsi="Times New Roman" w:eastAsia="仿宋_GB2312" w:cs="Times New Roman"/>
          <w:color w:val="auto"/>
          <w:sz w:val="32"/>
          <w:szCs w:val="32"/>
          <w:highlight w:val="none"/>
        </w:rPr>
      </w:pPr>
    </w:p>
    <w:p w14:paraId="062FE473">
      <w:pPr>
        <w:pStyle w:val="2"/>
        <w:rPr>
          <w:rFonts w:hint="default" w:ascii="Times New Roman" w:hAnsi="Times New Roman" w:eastAsia="仿宋_GB2312" w:cs="Times New Roman"/>
          <w:color w:val="auto"/>
          <w:sz w:val="32"/>
          <w:szCs w:val="32"/>
          <w:highlight w:val="none"/>
        </w:rPr>
      </w:pPr>
    </w:p>
    <w:p w14:paraId="0090A052">
      <w:pPr>
        <w:rPr>
          <w:rFonts w:hint="default" w:ascii="Times New Roman" w:hAnsi="Times New Roman" w:cs="Times New Roman"/>
          <w:highlight w:val="none"/>
        </w:rPr>
      </w:pPr>
    </w:p>
    <w:p w14:paraId="3A002C80">
      <w:pPr>
        <w:adjustRightInd w:val="0"/>
        <w:spacing w:line="480" w:lineRule="auto"/>
        <w:ind w:firstLine="1920" w:firstLineChars="600"/>
        <w:jc w:val="left"/>
        <w:rPr>
          <w:rFonts w:hint="default" w:ascii="Times New Roman" w:hAnsi="Times New Roman" w:eastAsia="仿宋_GB2312" w:cs="Times New Roman"/>
          <w:color w:val="auto"/>
          <w:sz w:val="32"/>
          <w:szCs w:val="32"/>
          <w:highlight w:val="none"/>
        </w:rPr>
      </w:pPr>
    </w:p>
    <w:p w14:paraId="4356CD87">
      <w:pPr>
        <w:adjustRightInd w:val="0"/>
        <w:spacing w:line="480" w:lineRule="auto"/>
        <w:ind w:firstLine="2240" w:firstLineChars="7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单位名称：</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（盖单位公章）</w:t>
      </w:r>
    </w:p>
    <w:p w14:paraId="43FE9751">
      <w:pPr>
        <w:bidi w:val="0"/>
        <w:ind w:firstLine="2240" w:firstLineChars="7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color w:val="auto"/>
          <w:sz w:val="32"/>
          <w:szCs w:val="32"/>
          <w:highlight w:val="none"/>
        </w:rPr>
        <w:t>日  期：</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bCs/>
          <w:color w:val="auto"/>
          <w:sz w:val="32"/>
          <w:szCs w:val="32"/>
          <w:highlight w:val="none"/>
        </w:rPr>
        <w:t>年</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bCs/>
          <w:color w:val="auto"/>
          <w:sz w:val="32"/>
          <w:szCs w:val="32"/>
          <w:highlight w:val="none"/>
        </w:rPr>
        <w:t>月</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bCs/>
          <w:color w:val="auto"/>
          <w:sz w:val="32"/>
          <w:szCs w:val="32"/>
          <w:highlight w:val="none"/>
        </w:rPr>
        <w:t>日</w:t>
      </w:r>
    </w:p>
    <w:p w14:paraId="65449AC4">
      <w:pPr>
        <w:rPr>
          <w:rFonts w:hint="default" w:ascii="Times New Roman" w:hAnsi="Times New Roman" w:cs="Times New Roman"/>
          <w:highlight w:val="none"/>
        </w:rPr>
      </w:pPr>
    </w:p>
    <w:p w14:paraId="247CAE1B">
      <w:pPr>
        <w:pStyle w:val="6"/>
        <w:ind w:left="0" w:leftChars="0" w:firstLine="0" w:firstLineChars="0"/>
        <w:rPr>
          <w:rFonts w:hint="default" w:ascii="Times New Roman" w:hAnsi="Times New Roman" w:eastAsia="仿宋" w:cs="Times New Roman"/>
          <w:bCs/>
          <w:sz w:val="32"/>
          <w:szCs w:val="32"/>
          <w:highlight w:val="none"/>
          <w:lang w:val="en-US" w:eastAsia="zh-CN"/>
        </w:rPr>
      </w:pPr>
    </w:p>
    <w:p w14:paraId="6BA2F00A">
      <w:pPr>
        <w:pStyle w:val="6"/>
        <w:ind w:left="0" w:leftChars="0" w:firstLine="0" w:firstLineChars="0"/>
        <w:rPr>
          <w:rFonts w:hint="default" w:ascii="Times New Roman" w:hAnsi="Times New Roman" w:eastAsia="仿宋" w:cs="Times New Roman"/>
          <w:bCs/>
          <w:sz w:val="32"/>
          <w:szCs w:val="32"/>
          <w:highlight w:val="none"/>
          <w:lang w:val="en-US" w:eastAsia="zh-CN"/>
        </w:rPr>
      </w:pPr>
    </w:p>
    <w:p w14:paraId="3C6F3C69">
      <w:pPr>
        <w:pStyle w:val="6"/>
        <w:ind w:left="0" w:leftChars="0" w:firstLine="0" w:firstLineChars="0"/>
        <w:rPr>
          <w:rFonts w:hint="default" w:ascii="Times New Roman" w:hAnsi="Times New Roman" w:eastAsia="仿宋" w:cs="Times New Roman"/>
          <w:bCs/>
          <w:sz w:val="32"/>
          <w:szCs w:val="32"/>
          <w:highlight w:val="none"/>
          <w:lang w:val="en-US" w:eastAsia="zh-CN"/>
        </w:rPr>
      </w:pPr>
    </w:p>
    <w:p w14:paraId="7832325A">
      <w:pPr>
        <w:jc w:val="center"/>
        <w:rPr>
          <w:rFonts w:hint="default" w:ascii="Times New Roman" w:hAnsi="Times New Roman" w:eastAsia="方正小标宋简体" w:cs="Times New Roman"/>
          <w:bCs/>
          <w:color w:val="auto"/>
          <w:sz w:val="44"/>
          <w:szCs w:val="44"/>
          <w:highlight w:val="none"/>
        </w:rPr>
      </w:pPr>
      <w:r>
        <w:rPr>
          <w:rFonts w:hint="default" w:ascii="Times New Roman" w:hAnsi="Times New Roman" w:eastAsia="方正小标宋简体" w:cs="Times New Roman"/>
          <w:bCs/>
          <w:color w:val="auto"/>
          <w:sz w:val="44"/>
          <w:szCs w:val="44"/>
          <w:highlight w:val="none"/>
        </w:rPr>
        <w:t>报价函</w:t>
      </w:r>
    </w:p>
    <w:p w14:paraId="5CDE77C1">
      <w:pPr>
        <w:pStyle w:val="2"/>
        <w:rPr>
          <w:rFonts w:hint="default" w:ascii="Times New Roman" w:hAnsi="Times New Roman" w:eastAsia="仿宋_GB2312" w:cs="Times New Roman"/>
          <w:color w:val="auto"/>
          <w:sz w:val="32"/>
          <w:szCs w:val="32"/>
          <w:highlight w:val="none"/>
        </w:rPr>
      </w:pPr>
    </w:p>
    <w:p w14:paraId="49C34D4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四川中彩源工程有限公司</w:t>
      </w:r>
      <w:r>
        <w:rPr>
          <w:rFonts w:hint="default" w:ascii="Times New Roman" w:hAnsi="Times New Roman" w:eastAsia="仿宋_GB2312" w:cs="Times New Roman"/>
          <w:color w:val="auto"/>
          <w:sz w:val="32"/>
          <w:szCs w:val="32"/>
          <w:highlight w:val="none"/>
        </w:rPr>
        <w:t>：</w:t>
      </w:r>
    </w:p>
    <w:p w14:paraId="343AD6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color w:val="auto"/>
          <w:sz w:val="32"/>
          <w:szCs w:val="32"/>
          <w:highlight w:val="none"/>
        </w:rPr>
      </w:pPr>
      <w:r>
        <w:rPr>
          <w:rFonts w:hint="default" w:ascii="Times New Roman" w:hAnsi="Times New Roman" w:eastAsia="仿宋_GB2312" w:cs="Times New Roman"/>
          <w:color w:val="auto"/>
          <w:sz w:val="32"/>
          <w:szCs w:val="32"/>
          <w:highlight w:val="none"/>
        </w:rPr>
        <w:t>关于</w:t>
      </w:r>
      <w:r>
        <w:rPr>
          <w:rFonts w:hint="default" w:ascii="Times New Roman" w:hAnsi="Times New Roman" w:eastAsia="仿宋_GB2312" w:cs="Times New Roman"/>
          <w:color w:val="auto"/>
          <w:sz w:val="32"/>
          <w:szCs w:val="32"/>
          <w:highlight w:val="none"/>
          <w:u w:val="single"/>
          <w:lang w:val="en-US" w:eastAsia="zh-CN"/>
        </w:rPr>
        <w:t>广汉市航天航空科技孵化产业园项目—一标段</w:t>
      </w:r>
      <w:r>
        <w:rPr>
          <w:rFonts w:hint="eastAsia" w:eastAsia="仿宋_GB2312" w:cs="Times New Roman"/>
          <w:color w:val="auto"/>
          <w:sz w:val="32"/>
          <w:szCs w:val="32"/>
          <w:highlight w:val="none"/>
          <w:u w:val="single"/>
          <w:lang w:val="en-US" w:eastAsia="zh-CN"/>
        </w:rPr>
        <w:t>座凳</w:t>
      </w:r>
      <w:r>
        <w:rPr>
          <w:rFonts w:hint="eastAsia" w:eastAsia="仿宋_GB2312" w:cs="Times New Roman"/>
          <w:color w:val="auto"/>
          <w:sz w:val="32"/>
          <w:szCs w:val="32"/>
          <w:highlight w:val="none"/>
          <w:u w:val="none"/>
          <w:lang w:val="en-US" w:eastAsia="zh-CN"/>
        </w:rPr>
        <w:t>询价价格事宜</w:t>
      </w:r>
      <w:r>
        <w:rPr>
          <w:rFonts w:hint="default" w:ascii="Times New Roman" w:hAnsi="Times New Roman" w:eastAsia="仿宋_GB2312" w:cs="Times New Roman"/>
          <w:color w:val="auto"/>
          <w:sz w:val="32"/>
          <w:szCs w:val="32"/>
          <w:highlight w:val="none"/>
        </w:rPr>
        <w:t>，结合</w:t>
      </w:r>
      <w:r>
        <w:rPr>
          <w:rFonts w:hint="eastAsia" w:eastAsia="仿宋_GB2312" w:cs="Times New Roman"/>
          <w:color w:val="auto"/>
          <w:sz w:val="32"/>
          <w:szCs w:val="32"/>
          <w:highlight w:val="none"/>
          <w:lang w:val="en-US" w:eastAsia="zh-CN"/>
        </w:rPr>
        <w:t>询价函及相关</w:t>
      </w:r>
      <w:r>
        <w:rPr>
          <w:rFonts w:hint="default" w:ascii="Times New Roman" w:hAnsi="Times New Roman" w:eastAsia="仿宋_GB2312" w:cs="Times New Roman"/>
          <w:color w:val="auto"/>
          <w:sz w:val="32"/>
          <w:szCs w:val="32"/>
          <w:highlight w:val="none"/>
          <w:lang w:val="en-US" w:eastAsia="zh-CN"/>
        </w:rPr>
        <w:t>情况</w:t>
      </w:r>
      <w:r>
        <w:rPr>
          <w:rFonts w:hint="default" w:ascii="Times New Roman" w:hAnsi="Times New Roman" w:eastAsia="仿宋_GB2312" w:cs="Times New Roman"/>
          <w:color w:val="auto"/>
          <w:sz w:val="32"/>
          <w:szCs w:val="32"/>
          <w:highlight w:val="none"/>
        </w:rPr>
        <w:t>，经仔细研究决定，我方</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single"/>
        </w:rPr>
        <w:t>（单位</w:t>
      </w:r>
      <w:r>
        <w:rPr>
          <w:rFonts w:hint="default" w:ascii="Times New Roman" w:hAnsi="Times New Roman" w:eastAsia="仿宋_GB2312" w:cs="Times New Roman"/>
          <w:color w:val="auto"/>
          <w:sz w:val="32"/>
          <w:szCs w:val="32"/>
          <w:highlight w:val="none"/>
          <w:u w:val="single"/>
          <w:lang w:eastAsia="zh-CN"/>
        </w:rPr>
        <w:t>名称</w:t>
      </w:r>
      <w:r>
        <w:rPr>
          <w:rFonts w:hint="default" w:ascii="Times New Roman" w:hAnsi="Times New Roman" w:eastAsia="仿宋_GB2312" w:cs="Times New Roman"/>
          <w:color w:val="auto"/>
          <w:sz w:val="32"/>
          <w:szCs w:val="32"/>
          <w:highlight w:val="none"/>
          <w:u w:val="single"/>
        </w:rPr>
        <w:t>）</w:t>
      </w:r>
      <w:r>
        <w:rPr>
          <w:rFonts w:hint="eastAsia"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关于</w:t>
      </w:r>
      <w:r>
        <w:rPr>
          <w:rFonts w:hint="eastAsia" w:eastAsia="仿宋_GB2312" w:cs="Times New Roman"/>
          <w:color w:val="auto"/>
          <w:sz w:val="32"/>
          <w:szCs w:val="32"/>
          <w:highlight w:val="none"/>
          <w:u w:val="none"/>
          <w:lang w:val="en-US" w:eastAsia="zh-CN"/>
        </w:rPr>
        <w:t>座凳综合</w:t>
      </w:r>
      <w:r>
        <w:rPr>
          <w:rFonts w:hint="default" w:ascii="Times New Roman" w:hAnsi="Times New Roman" w:eastAsia="仿宋_GB2312" w:cs="Times New Roman"/>
          <w:color w:val="auto"/>
          <w:sz w:val="32"/>
          <w:szCs w:val="32"/>
          <w:highlight w:val="none"/>
          <w:u w:val="none"/>
          <w:lang w:val="en-US" w:eastAsia="zh-CN"/>
        </w:rPr>
        <w:t>报价</w:t>
      </w:r>
      <w:r>
        <w:rPr>
          <w:rFonts w:hint="default" w:ascii="Times New Roman" w:hAnsi="Times New Roman" w:eastAsia="仿宋_GB2312" w:cs="Times New Roman"/>
          <w:color w:val="auto"/>
          <w:sz w:val="32"/>
          <w:szCs w:val="32"/>
          <w:highlight w:val="none"/>
        </w:rPr>
        <w:t>为</w:t>
      </w:r>
      <w:r>
        <w:rPr>
          <w:rFonts w:hint="eastAsia" w:eastAsia="仿宋_GB2312" w:cs="Times New Roman"/>
          <w:color w:val="auto"/>
          <w:sz w:val="32"/>
          <w:szCs w:val="32"/>
          <w:highlight w:val="none"/>
          <w:lang w:val="en-US" w:eastAsia="zh-CN"/>
        </w:rPr>
        <w:t>含税</w:t>
      </w:r>
      <w:r>
        <w:rPr>
          <w:rFonts w:hint="default" w:ascii="Times New Roman" w:hAnsi="Times New Roman" w:eastAsia="仿宋_GB2312" w:cs="Times New Roman"/>
          <w:b w:val="0"/>
          <w:color w:val="auto"/>
          <w:sz w:val="32"/>
          <w:szCs w:val="32"/>
          <w:highlight w:val="none"/>
          <w:u w:val="single"/>
        </w:rPr>
        <w:t xml:space="preserve">      </w:t>
      </w:r>
      <w:r>
        <w:rPr>
          <w:rFonts w:hint="default" w:ascii="Times New Roman" w:hAnsi="Times New Roman" w:eastAsia="仿宋_GB2312" w:cs="Times New Roman"/>
          <w:b w:val="0"/>
          <w:color w:val="auto"/>
          <w:sz w:val="32"/>
          <w:szCs w:val="32"/>
          <w:highlight w:val="none"/>
        </w:rPr>
        <w:t>元</w:t>
      </w:r>
      <w:r>
        <w:rPr>
          <w:rFonts w:hint="eastAsia" w:ascii="Times New Roman" w:hAnsi="Times New Roman" w:eastAsia="仿宋_GB2312" w:cs="Times New Roman"/>
          <w:b w:val="0"/>
          <w:color w:val="auto"/>
          <w:sz w:val="32"/>
          <w:szCs w:val="32"/>
          <w:highlight w:val="none"/>
          <w:lang w:eastAsia="zh-CN"/>
        </w:rPr>
        <w:t>（</w:t>
      </w:r>
      <w:r>
        <w:rPr>
          <w:rFonts w:hint="eastAsia" w:eastAsia="仿宋_GB2312" w:cs="Times New Roman"/>
          <w:b w:val="0"/>
          <w:color w:val="auto"/>
          <w:sz w:val="32"/>
          <w:szCs w:val="32"/>
          <w:highlight w:val="none"/>
          <w:lang w:val="en-US" w:eastAsia="zh-CN"/>
        </w:rPr>
        <w:t>大写：</w:t>
      </w:r>
      <w:r>
        <w:rPr>
          <w:rFonts w:hint="eastAsia" w:eastAsia="仿宋_GB2312" w:cs="Times New Roman"/>
          <w:b w:val="0"/>
          <w:color w:val="auto"/>
          <w:sz w:val="32"/>
          <w:szCs w:val="32"/>
          <w:highlight w:val="none"/>
          <w:u w:val="single"/>
          <w:lang w:val="en-US" w:eastAsia="zh-CN"/>
        </w:rPr>
        <w:t xml:space="preserve">            </w:t>
      </w:r>
      <w:r>
        <w:rPr>
          <w:rFonts w:hint="eastAsia" w:ascii="Times New Roman" w:hAnsi="Times New Roman" w:eastAsia="仿宋_GB2312" w:cs="Times New Roman"/>
          <w:b w:val="0"/>
          <w:color w:val="auto"/>
          <w:sz w:val="32"/>
          <w:szCs w:val="32"/>
          <w:highlight w:val="none"/>
          <w:lang w:eastAsia="zh-CN"/>
        </w:rPr>
        <w:t>），</w:t>
      </w:r>
      <w:r>
        <w:rPr>
          <w:rFonts w:hint="eastAsia" w:eastAsia="仿宋_GB2312" w:cs="Times New Roman"/>
          <w:b w:val="0"/>
          <w:color w:val="auto"/>
          <w:sz w:val="32"/>
          <w:szCs w:val="32"/>
          <w:highlight w:val="none"/>
          <w:lang w:val="en-US" w:eastAsia="zh-CN"/>
        </w:rPr>
        <w:t>含税总价为</w:t>
      </w:r>
      <w:r>
        <w:rPr>
          <w:rFonts w:hint="eastAsia" w:eastAsia="仿宋_GB2312" w:cs="Times New Roman"/>
          <w:b w:val="0"/>
          <w:color w:val="auto"/>
          <w:sz w:val="32"/>
          <w:szCs w:val="32"/>
          <w:highlight w:val="none"/>
          <w:u w:val="single"/>
          <w:lang w:val="en-US" w:eastAsia="zh-CN"/>
        </w:rPr>
        <w:t xml:space="preserve">            </w:t>
      </w:r>
      <w:r>
        <w:rPr>
          <w:rFonts w:hint="default" w:ascii="Times New Roman" w:hAnsi="Times New Roman" w:eastAsia="仿宋_GB2312" w:cs="Times New Roman"/>
          <w:b w:val="0"/>
          <w:color w:val="auto"/>
          <w:sz w:val="32"/>
          <w:szCs w:val="32"/>
          <w:highlight w:val="none"/>
        </w:rPr>
        <w:t>（</w:t>
      </w:r>
      <w:r>
        <w:rPr>
          <w:rFonts w:hint="default" w:ascii="Times New Roman" w:hAnsi="Times New Roman" w:eastAsia="仿宋_GB2312" w:cs="Times New Roman"/>
          <w:b w:val="0"/>
          <w:color w:val="auto"/>
          <w:sz w:val="32"/>
          <w:szCs w:val="32"/>
          <w:highlight w:val="none"/>
          <w:u w:val="none"/>
        </w:rPr>
        <w:t>大写：</w:t>
      </w:r>
      <w:r>
        <w:rPr>
          <w:rFonts w:hint="default" w:ascii="Times New Roman" w:hAnsi="Times New Roman" w:eastAsia="仿宋_GB2312" w:cs="Times New Roman"/>
          <w:b w:val="0"/>
          <w:color w:val="auto"/>
          <w:sz w:val="32"/>
          <w:szCs w:val="32"/>
          <w:highlight w:val="none"/>
          <w:u w:val="single"/>
        </w:rPr>
        <w:t xml:space="preserve">         </w:t>
      </w:r>
      <w:r>
        <w:rPr>
          <w:rFonts w:hint="default" w:ascii="Times New Roman" w:hAnsi="Times New Roman" w:eastAsia="仿宋_GB2312" w:cs="Times New Roman"/>
          <w:b w:val="0"/>
          <w:color w:val="auto"/>
          <w:sz w:val="32"/>
          <w:szCs w:val="32"/>
          <w:highlight w:val="none"/>
        </w:rPr>
        <w:t>）</w:t>
      </w:r>
      <w:r>
        <w:rPr>
          <w:rFonts w:hint="eastAsia" w:eastAsia="仿宋_GB2312" w:cs="Times New Roman"/>
          <w:b w:val="0"/>
          <w:color w:val="auto"/>
          <w:sz w:val="32"/>
          <w:szCs w:val="32"/>
          <w:highlight w:val="none"/>
          <w:lang w:eastAsia="zh-CN"/>
        </w:rPr>
        <w:t>，</w:t>
      </w:r>
      <w:r>
        <w:rPr>
          <w:rFonts w:hint="eastAsia" w:ascii="Times New Roman" w:hAnsi="Times New Roman" w:eastAsia="仿宋_GB2312" w:cs="Times New Roman"/>
          <w:b w:val="0"/>
          <w:color w:val="auto"/>
          <w:sz w:val="32"/>
          <w:szCs w:val="32"/>
          <w:highlight w:val="none"/>
          <w:lang w:val="en-US" w:eastAsia="zh-CN"/>
        </w:rPr>
        <w:t>税率</w:t>
      </w:r>
      <w:r>
        <w:rPr>
          <w:rFonts w:hint="default" w:ascii="Times New Roman" w:hAnsi="Times New Roman" w:eastAsia="仿宋_GB2312" w:cs="Times New Roman"/>
          <w:b w:val="0"/>
          <w:color w:val="auto"/>
          <w:sz w:val="32"/>
          <w:szCs w:val="32"/>
          <w:highlight w:val="none"/>
          <w:u w:val="single"/>
        </w:rPr>
        <w:t xml:space="preserve">   </w:t>
      </w:r>
      <w:r>
        <w:rPr>
          <w:rFonts w:hint="eastAsia" w:eastAsia="仿宋_GB2312" w:cs="Times New Roman"/>
          <w:b w:val="0"/>
          <w:color w:val="auto"/>
          <w:sz w:val="32"/>
          <w:szCs w:val="32"/>
          <w:highlight w:val="none"/>
          <w:u w:val="single"/>
          <w:lang w:val="en-US" w:eastAsia="zh-CN"/>
        </w:rPr>
        <w:t xml:space="preserve">  </w:t>
      </w:r>
      <w:r>
        <w:rPr>
          <w:rFonts w:hint="eastAsia" w:ascii="Times New Roman" w:hAnsi="Times New Roman" w:eastAsia="仿宋_GB2312" w:cs="Times New Roman"/>
          <w:b w:val="0"/>
          <w:color w:val="auto"/>
          <w:sz w:val="32"/>
          <w:szCs w:val="32"/>
          <w:highlight w:val="none"/>
          <w:u w:val="single"/>
          <w:lang w:val="en-US" w:eastAsia="zh-CN"/>
        </w:rPr>
        <w:t xml:space="preserve">  </w:t>
      </w:r>
      <w:r>
        <w:rPr>
          <w:rFonts w:hint="default" w:ascii="Times New Roman" w:hAnsi="Times New Roman" w:eastAsia="仿宋_GB2312" w:cs="Times New Roman"/>
          <w:b w:val="0"/>
          <w:color w:val="auto"/>
          <w:sz w:val="32"/>
          <w:szCs w:val="32"/>
          <w:highlight w:val="none"/>
        </w:rPr>
        <w:t>。</w:t>
      </w:r>
    </w:p>
    <w:p w14:paraId="3BDF15DB">
      <w:pPr>
        <w:spacing w:line="480" w:lineRule="auto"/>
        <w:rPr>
          <w:rFonts w:hint="default" w:ascii="Times New Roman" w:hAnsi="Times New Roman" w:eastAsia="仿宋_GB2312" w:cs="Times New Roman"/>
          <w:color w:val="auto"/>
          <w:sz w:val="32"/>
          <w:szCs w:val="32"/>
          <w:highlight w:val="none"/>
        </w:rPr>
      </w:pPr>
    </w:p>
    <w:p w14:paraId="1FE87AFB">
      <w:pPr>
        <w:spacing w:line="480" w:lineRule="auto"/>
        <w:ind w:firstLine="420" w:firstLineChars="200"/>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val="en-US" w:eastAsia="zh-CN"/>
        </w:rPr>
        <w:t>注： 所有报价均用人民币表示，</w:t>
      </w:r>
      <w:r>
        <w:rPr>
          <w:rFonts w:hint="eastAsia" w:ascii="Times New Roman" w:hAnsi="Times New Roman" w:eastAsia="仿宋_GB2312" w:cs="Times New Roman"/>
          <w:color w:val="auto"/>
          <w:sz w:val="21"/>
          <w:szCs w:val="21"/>
          <w:highlight w:val="none"/>
          <w:lang w:val="en-US" w:eastAsia="zh-CN"/>
        </w:rPr>
        <w:t>采用包干总价方式</w:t>
      </w:r>
      <w:r>
        <w:rPr>
          <w:rFonts w:hint="default" w:ascii="Times New Roman" w:hAnsi="Times New Roman" w:eastAsia="仿宋_GB2312" w:cs="Times New Roman"/>
          <w:color w:val="auto"/>
          <w:sz w:val="21"/>
          <w:szCs w:val="21"/>
          <w:highlight w:val="none"/>
          <w:lang w:val="en-US" w:eastAsia="zh-CN"/>
        </w:rPr>
        <w:t>，包括但不限于</w:t>
      </w:r>
      <w:r>
        <w:rPr>
          <w:rFonts w:hint="eastAsia" w:ascii="Times New Roman" w:hAnsi="Times New Roman" w:eastAsia="仿宋_GB2312" w:cs="Times New Roman"/>
          <w:color w:val="auto"/>
          <w:sz w:val="21"/>
          <w:szCs w:val="21"/>
          <w:highlight w:val="none"/>
          <w:lang w:val="en-US" w:eastAsia="zh-CN"/>
        </w:rPr>
        <w:t>材料费、安装费</w:t>
      </w:r>
      <w:r>
        <w:rPr>
          <w:rFonts w:hint="default" w:ascii="Times New Roman" w:hAnsi="Times New Roman" w:eastAsia="仿宋_GB2312" w:cs="Times New Roman"/>
          <w:color w:val="auto"/>
          <w:sz w:val="21"/>
          <w:szCs w:val="21"/>
          <w:highlight w:val="none"/>
          <w:lang w:val="en-US" w:eastAsia="zh-CN"/>
        </w:rPr>
        <w:t>、</w:t>
      </w:r>
      <w:r>
        <w:rPr>
          <w:rFonts w:hint="eastAsia" w:ascii="Times New Roman" w:hAnsi="Times New Roman" w:eastAsia="仿宋_GB2312" w:cs="Times New Roman"/>
          <w:color w:val="auto"/>
          <w:sz w:val="21"/>
          <w:szCs w:val="21"/>
          <w:highlight w:val="none"/>
          <w:lang w:val="en-US" w:eastAsia="zh-CN"/>
        </w:rPr>
        <w:t>措施及安全文明施工、利润、税金</w:t>
      </w:r>
      <w:r>
        <w:rPr>
          <w:rFonts w:hint="default" w:ascii="Times New Roman" w:hAnsi="Times New Roman" w:eastAsia="仿宋_GB2312" w:cs="Times New Roman"/>
          <w:color w:val="auto"/>
          <w:sz w:val="21"/>
          <w:szCs w:val="21"/>
          <w:highlight w:val="none"/>
          <w:lang w:val="en-US" w:eastAsia="zh-CN"/>
        </w:rPr>
        <w:t>等为完成本项目</w:t>
      </w:r>
      <w:r>
        <w:rPr>
          <w:rFonts w:hint="eastAsia" w:eastAsia="仿宋_GB2312" w:cs="Times New Roman"/>
          <w:color w:val="auto"/>
          <w:sz w:val="21"/>
          <w:szCs w:val="21"/>
          <w:highlight w:val="none"/>
          <w:lang w:val="en-US" w:eastAsia="zh-CN"/>
        </w:rPr>
        <w:t>成品羽毛球围网</w:t>
      </w:r>
      <w:r>
        <w:rPr>
          <w:rFonts w:hint="eastAsia" w:ascii="Times New Roman" w:hAnsi="Times New Roman" w:eastAsia="仿宋_GB2312" w:cs="Times New Roman"/>
          <w:color w:val="auto"/>
          <w:sz w:val="21"/>
          <w:szCs w:val="21"/>
          <w:highlight w:val="none"/>
          <w:lang w:val="en-US" w:eastAsia="zh-CN"/>
        </w:rPr>
        <w:t>和座凳安装的</w:t>
      </w:r>
      <w:r>
        <w:rPr>
          <w:rFonts w:hint="default" w:ascii="Times New Roman" w:hAnsi="Times New Roman" w:eastAsia="仿宋_GB2312" w:cs="Times New Roman"/>
          <w:color w:val="auto"/>
          <w:sz w:val="21"/>
          <w:szCs w:val="21"/>
          <w:highlight w:val="none"/>
          <w:lang w:val="en-US" w:eastAsia="zh-CN"/>
        </w:rPr>
        <w:t>所有费用。</w:t>
      </w:r>
    </w:p>
    <w:p w14:paraId="712A4095">
      <w:pPr>
        <w:pStyle w:val="2"/>
        <w:rPr>
          <w:rFonts w:hint="default" w:ascii="Times New Roman" w:hAnsi="Times New Roman" w:eastAsia="仿宋_GB2312" w:cs="Times New Roman"/>
          <w:color w:val="auto"/>
          <w:sz w:val="32"/>
          <w:szCs w:val="32"/>
          <w:highlight w:val="none"/>
        </w:rPr>
      </w:pPr>
    </w:p>
    <w:p w14:paraId="2E1292E7">
      <w:pPr>
        <w:pStyle w:val="2"/>
        <w:rPr>
          <w:rFonts w:hint="default" w:ascii="Times New Roman" w:hAnsi="Times New Roman" w:eastAsia="仿宋_GB2312" w:cs="Times New Roman"/>
          <w:color w:val="auto"/>
          <w:sz w:val="32"/>
          <w:szCs w:val="32"/>
          <w:highlight w:val="none"/>
        </w:rPr>
      </w:pPr>
    </w:p>
    <w:p w14:paraId="370908D4">
      <w:pPr>
        <w:rPr>
          <w:rFonts w:hint="default" w:ascii="Times New Roman" w:hAnsi="Times New Roman" w:cs="Times New Roman"/>
          <w:highlight w:val="none"/>
        </w:rPr>
      </w:pPr>
    </w:p>
    <w:p w14:paraId="7A7A9BDE">
      <w:pPr>
        <w:adjustRightInd w:val="0"/>
        <w:spacing w:line="480" w:lineRule="auto"/>
        <w:ind w:firstLine="1920" w:firstLineChars="600"/>
        <w:jc w:val="left"/>
        <w:rPr>
          <w:rFonts w:hint="default" w:ascii="Times New Roman" w:hAnsi="Times New Roman" w:eastAsia="仿宋_GB2312" w:cs="Times New Roman"/>
          <w:color w:val="auto"/>
          <w:sz w:val="32"/>
          <w:szCs w:val="32"/>
          <w:highlight w:val="none"/>
        </w:rPr>
      </w:pPr>
    </w:p>
    <w:p w14:paraId="43EF72D4">
      <w:pPr>
        <w:adjustRightInd w:val="0"/>
        <w:spacing w:line="480" w:lineRule="auto"/>
        <w:ind w:firstLine="2240" w:firstLineChars="700"/>
        <w:jc w:val="lef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单位名称：</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（盖单位公章）</w:t>
      </w:r>
    </w:p>
    <w:p w14:paraId="6A18B46F">
      <w:pPr>
        <w:bidi w:val="0"/>
        <w:ind w:firstLine="2240" w:firstLineChars="700"/>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color w:val="auto"/>
          <w:sz w:val="32"/>
          <w:szCs w:val="32"/>
          <w:highlight w:val="none"/>
        </w:rPr>
        <w:t>日  期：</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bCs/>
          <w:color w:val="auto"/>
          <w:sz w:val="32"/>
          <w:szCs w:val="32"/>
          <w:highlight w:val="none"/>
        </w:rPr>
        <w:t>年</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bCs/>
          <w:color w:val="auto"/>
          <w:sz w:val="32"/>
          <w:szCs w:val="32"/>
          <w:highlight w:val="none"/>
        </w:rPr>
        <w:t>月</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bCs/>
          <w:color w:val="auto"/>
          <w:sz w:val="32"/>
          <w:szCs w:val="32"/>
          <w:highlight w:val="none"/>
        </w:rPr>
        <w:t>日</w:t>
      </w:r>
    </w:p>
    <w:p w14:paraId="408FDAE1">
      <w:pPr>
        <w:rPr>
          <w:rFonts w:hint="default" w:ascii="Times New Roman" w:hAnsi="Times New Roman" w:cs="Times New Roman"/>
          <w:highlight w:val="none"/>
        </w:rPr>
      </w:pPr>
    </w:p>
    <w:p w14:paraId="3C094A5E">
      <w:pPr>
        <w:pStyle w:val="6"/>
        <w:ind w:left="0" w:leftChars="0" w:firstLine="0" w:firstLineChars="0"/>
        <w:rPr>
          <w:rFonts w:hint="default" w:ascii="Times New Roman" w:hAnsi="Times New Roman" w:eastAsia="仿宋" w:cs="Times New Roman"/>
          <w:bCs/>
          <w:sz w:val="32"/>
          <w:szCs w:val="32"/>
          <w:highlight w:val="none"/>
          <w:lang w:val="en-US" w:eastAsia="zh-CN"/>
        </w:rPr>
      </w:pPr>
    </w:p>
    <w:p w14:paraId="639515D3">
      <w:pPr>
        <w:rPr>
          <w:rFonts w:hint="eastAsia" w:ascii="Times New Roman" w:hAnsi="Times New Roman" w:eastAsia="黑体" w:cs="Times New Roman"/>
          <w:bCs/>
          <w:color w:val="auto"/>
          <w:sz w:val="32"/>
          <w:szCs w:val="32"/>
          <w:highlight w:val="none"/>
          <w:lang w:val="en-US" w:eastAsia="zh-CN"/>
        </w:rPr>
      </w:pPr>
    </w:p>
    <w:p w14:paraId="2B12DB59">
      <w:pPr>
        <w:pStyle w:val="2"/>
        <w:rPr>
          <w:rFonts w:hint="eastAsia" w:ascii="Times New Roman" w:hAnsi="Times New Roman" w:eastAsia="黑体" w:cs="Times New Roman"/>
          <w:bCs/>
          <w:color w:val="auto"/>
          <w:sz w:val="32"/>
          <w:szCs w:val="32"/>
          <w:highlight w:val="none"/>
          <w:lang w:val="en-US" w:eastAsia="zh-CN"/>
        </w:rPr>
      </w:pPr>
    </w:p>
    <w:p w14:paraId="2236A981">
      <w:pPr>
        <w:rPr>
          <w:rFonts w:hint="eastAsia"/>
          <w:lang w:val="en-US" w:eastAsia="zh-CN"/>
        </w:rPr>
      </w:pPr>
    </w:p>
    <w:p w14:paraId="2C382B30">
      <w:pPr>
        <w:pStyle w:val="9"/>
        <w:rPr>
          <w:rFonts w:hint="eastAsia"/>
          <w:lang w:val="en-US" w:eastAsia="zh-CN"/>
        </w:rPr>
      </w:pPr>
    </w:p>
    <w:p w14:paraId="1C73A7B7">
      <w:pPr>
        <w:rPr>
          <w:rFonts w:hint="eastAsia" w:ascii="Times New Roman" w:hAnsi="Times New Roman" w:eastAsia="黑体" w:cs="Times New Roman"/>
          <w:bCs/>
          <w:color w:val="auto"/>
          <w:sz w:val="32"/>
          <w:szCs w:val="32"/>
          <w:highlight w:val="none"/>
          <w:lang w:val="en-US" w:eastAsia="zh-CN"/>
        </w:rPr>
      </w:pPr>
      <w:r>
        <w:rPr>
          <w:rFonts w:hint="eastAsia" w:ascii="Times New Roman" w:hAnsi="Times New Roman" w:eastAsia="黑体" w:cs="Times New Roman"/>
          <w:bCs/>
          <w:color w:val="auto"/>
          <w:sz w:val="32"/>
          <w:szCs w:val="32"/>
          <w:highlight w:val="none"/>
          <w:lang w:val="en-US" w:eastAsia="zh-CN"/>
        </w:rPr>
        <w:t>附件</w:t>
      </w:r>
      <w:r>
        <w:rPr>
          <w:rFonts w:hint="eastAsia" w:eastAsia="黑体" w:cs="Times New Roman"/>
          <w:bCs/>
          <w:color w:val="auto"/>
          <w:sz w:val="32"/>
          <w:szCs w:val="32"/>
          <w:highlight w:val="none"/>
          <w:lang w:val="en-US" w:eastAsia="zh-CN"/>
        </w:rPr>
        <w:t>4</w:t>
      </w:r>
    </w:p>
    <w:p w14:paraId="41FCC621">
      <w:pPr>
        <w:pStyle w:val="9"/>
        <w:jc w:val="center"/>
        <w:rPr>
          <w:rFonts w:hint="eastAsia"/>
          <w:lang w:val="en-US" w:eastAsia="zh-CN"/>
        </w:rPr>
      </w:pPr>
      <w:r>
        <w:rPr>
          <w:rFonts w:hint="eastAsia"/>
          <w:lang w:val="en-US" w:eastAsia="zh-CN"/>
        </w:rPr>
        <w:drawing>
          <wp:inline distT="0" distB="0" distL="114300" distR="114300">
            <wp:extent cx="3324225" cy="2447925"/>
            <wp:effectExtent l="0" t="0" r="9525" b="9525"/>
            <wp:docPr id="1" name="图片 1" descr="84811cf2bd7e8614e3c8c9ba6aa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4811cf2bd7e8614e3c8c9ba6aa1007"/>
                    <pic:cNvPicPr>
                      <a:picLocks noChangeAspect="1"/>
                    </pic:cNvPicPr>
                  </pic:nvPicPr>
                  <pic:blipFill>
                    <a:blip r:embed="rId4"/>
                    <a:srcRect b="8127"/>
                    <a:stretch>
                      <a:fillRect/>
                    </a:stretch>
                  </pic:blipFill>
                  <pic:spPr>
                    <a:xfrm>
                      <a:off x="0" y="0"/>
                      <a:ext cx="3324225" cy="2447925"/>
                    </a:xfrm>
                    <a:prstGeom prst="rect">
                      <a:avLst/>
                    </a:prstGeom>
                  </pic:spPr>
                </pic:pic>
              </a:graphicData>
            </a:graphic>
          </wp:inline>
        </w:drawing>
      </w:r>
    </w:p>
    <w:p w14:paraId="401445A0">
      <w:pPr>
        <w:jc w:val="center"/>
        <w:rPr>
          <w:rFonts w:hint="default" w:ascii="Times New Roman" w:hAnsi="Times New Roman" w:eastAsia="方正小标宋简体" w:cs="Times New Roman"/>
          <w:bCs/>
          <w:color w:val="auto"/>
          <w:sz w:val="44"/>
          <w:szCs w:val="44"/>
          <w:highlight w:val="none"/>
          <w:lang w:val="en-US" w:eastAsia="zh-CN"/>
        </w:rPr>
      </w:pPr>
      <w:r>
        <w:rPr>
          <w:rFonts w:hint="eastAsia" w:ascii="Times New Roman" w:hAnsi="Times New Roman" w:eastAsia="方正小标宋简体" w:cs="Times New Roman"/>
          <w:bCs/>
          <w:color w:val="auto"/>
          <w:sz w:val="44"/>
          <w:szCs w:val="44"/>
          <w:highlight w:val="none"/>
          <w:lang w:val="en-US" w:eastAsia="zh-CN"/>
        </w:rPr>
        <w:t>座凳效果图</w:t>
      </w:r>
    </w:p>
    <w:p w14:paraId="0333F1BB">
      <w:pPr>
        <w:rPr>
          <w:rFonts w:hint="eastAsia"/>
          <w:lang w:val="en-US" w:eastAsia="zh-CN"/>
        </w:rPr>
      </w:pPr>
      <w:r>
        <w:rPr>
          <w:rFonts w:hint="eastAsia"/>
          <w:lang w:val="en-US" w:eastAsia="zh-CN"/>
        </w:rPr>
        <w:drawing>
          <wp:inline distT="0" distB="0" distL="114300" distR="114300">
            <wp:extent cx="5267960" cy="2506980"/>
            <wp:effectExtent l="0" t="0" r="8890" b="7620"/>
            <wp:docPr id="2" name="图片 2" descr="9360737eb358be1bc8a6d16623390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360737eb358be1bc8a6d16623390c3"/>
                    <pic:cNvPicPr>
                      <a:picLocks noChangeAspect="1"/>
                    </pic:cNvPicPr>
                  </pic:nvPicPr>
                  <pic:blipFill>
                    <a:blip r:embed="rId5"/>
                    <a:stretch>
                      <a:fillRect/>
                    </a:stretch>
                  </pic:blipFill>
                  <pic:spPr>
                    <a:xfrm>
                      <a:off x="0" y="0"/>
                      <a:ext cx="5267960" cy="2506980"/>
                    </a:xfrm>
                    <a:prstGeom prst="rect">
                      <a:avLst/>
                    </a:prstGeom>
                  </pic:spPr>
                </pic:pic>
              </a:graphicData>
            </a:graphic>
          </wp:inline>
        </w:drawing>
      </w:r>
    </w:p>
    <w:p w14:paraId="05A751EC">
      <w:pPr>
        <w:jc w:val="center"/>
        <w:rPr>
          <w:rFonts w:hint="eastAsia" w:ascii="Times New Roman" w:hAnsi="Times New Roman" w:eastAsia="方正小标宋简体" w:cs="Times New Roman"/>
          <w:bCs/>
          <w:color w:val="auto"/>
          <w:sz w:val="44"/>
          <w:szCs w:val="44"/>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方正小标宋简体" w:cs="Times New Roman"/>
          <w:bCs/>
          <w:color w:val="auto"/>
          <w:sz w:val="44"/>
          <w:szCs w:val="44"/>
          <w:highlight w:val="none"/>
          <w:lang w:val="en-US" w:eastAsia="zh-CN"/>
        </w:rPr>
        <w:t>成品羽毛球围网大样图</w:t>
      </w:r>
    </w:p>
    <w:p w14:paraId="342F8C2F">
      <w:pPr>
        <w:pStyle w:val="6"/>
        <w:ind w:left="0" w:leftChars="0" w:firstLine="0" w:firstLineChars="0"/>
        <w:jc w:val="center"/>
        <w:rPr>
          <w:rFonts w:hint="eastAsia" w:eastAsia="仿宋" w:cs="Times New Roman"/>
          <w:bCs/>
          <w:sz w:val="32"/>
          <w:szCs w:val="32"/>
          <w:highlight w:val="none"/>
          <w:lang w:val="en-US" w:eastAsia="zh-CN"/>
        </w:rPr>
      </w:pPr>
    </w:p>
    <w:p w14:paraId="5878F450">
      <w:pPr>
        <w:pStyle w:val="6"/>
        <w:ind w:left="0" w:leftChars="0" w:firstLine="0" w:firstLineChars="0"/>
        <w:jc w:val="center"/>
        <w:rPr>
          <w:rFonts w:hint="eastAsia" w:eastAsia="仿宋" w:cs="Times New Roman"/>
          <w:bCs/>
          <w:sz w:val="32"/>
          <w:szCs w:val="32"/>
          <w:highlight w:val="none"/>
          <w:lang w:val="en-US" w:eastAsia="zh-CN"/>
        </w:rPr>
      </w:pPr>
      <w:r>
        <w:rPr>
          <w:rFonts w:hint="eastAsia" w:eastAsia="仿宋" w:cs="Times New Roman"/>
          <w:bCs/>
          <w:sz w:val="32"/>
          <w:szCs w:val="32"/>
          <w:highlight w:val="none"/>
          <w:lang w:val="en-US" w:eastAsia="zh-CN"/>
        </w:rPr>
        <w:t>合同（范本）</w:t>
      </w:r>
    </w:p>
    <w:p w14:paraId="0F216046">
      <w:pPr>
        <w:pStyle w:val="6"/>
        <w:ind w:left="0" w:leftChars="0" w:firstLine="0" w:firstLineChars="0"/>
        <w:jc w:val="center"/>
        <w:rPr>
          <w:rFonts w:hint="default" w:eastAsia="仿宋" w:cs="Times New Roman"/>
          <w:bCs/>
          <w:sz w:val="32"/>
          <w:szCs w:val="32"/>
          <w:highlight w:val="none"/>
          <w:lang w:val="en-US" w:eastAsia="zh-CN"/>
        </w:rPr>
      </w:pPr>
      <w:r>
        <w:rPr>
          <w:rFonts w:hint="eastAsia" w:eastAsia="仿宋" w:cs="Times New Roman"/>
          <w:bCs/>
          <w:sz w:val="32"/>
          <w:szCs w:val="32"/>
          <w:highlight w:val="none"/>
          <w:lang w:val="en-US" w:eastAsia="zh-CN"/>
        </w:rPr>
        <w:t>（本合同主要条款作为双方签订合同的参考，但不得与询价文件的实质性内容相背离，以最终签订的合同文本为准。）</w:t>
      </w:r>
    </w:p>
    <w:p w14:paraId="102570F0">
      <w:pPr>
        <w:pStyle w:val="6"/>
        <w:ind w:left="0" w:leftChars="0" w:firstLine="0" w:firstLineChars="0"/>
        <w:rPr>
          <w:rFonts w:hint="default" w:ascii="Times New Roman" w:hAnsi="Times New Roman" w:eastAsia="仿宋" w:cs="Times New Roman"/>
          <w:bCs/>
          <w:sz w:val="32"/>
          <w:szCs w:val="32"/>
          <w:highlight w:val="none"/>
          <w:lang w:val="en-US" w:eastAsia="zh-CN"/>
        </w:rPr>
      </w:pPr>
    </w:p>
    <w:p w14:paraId="06D78E8E">
      <w:pPr>
        <w:pStyle w:val="2"/>
        <w:rPr>
          <w:rFonts w:hint="default"/>
          <w:lang w:val="en-US" w:eastAsia="zh-CN"/>
        </w:rPr>
        <w:sectPr>
          <w:pgSz w:w="11906" w:h="16838"/>
          <w:pgMar w:top="1440" w:right="1800" w:bottom="1440" w:left="1800" w:header="851" w:footer="992" w:gutter="0"/>
          <w:cols w:space="425" w:num="1"/>
          <w:docGrid w:type="lines" w:linePitch="312" w:charSpace="0"/>
        </w:sectPr>
      </w:pPr>
    </w:p>
    <w:p w14:paraId="3D3457E9">
      <w:pPr>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合同编号：</w:t>
      </w:r>
    </w:p>
    <w:p w14:paraId="19A9CDB9">
      <w:pPr>
        <w:pStyle w:val="4"/>
        <w:rPr>
          <w:rFonts w:hint="default" w:ascii="Calibri" w:hAnsi="Calibri" w:eastAsia="宋体" w:cs="Times New Roman"/>
          <w:color w:val="auto"/>
          <w:sz w:val="18"/>
          <w:szCs w:val="18"/>
          <w:highlight w:val="none"/>
        </w:rPr>
      </w:pPr>
    </w:p>
    <w:p w14:paraId="2A7A2A8D">
      <w:pPr>
        <w:spacing w:line="420" w:lineRule="exact"/>
        <w:jc w:val="center"/>
        <w:outlineLvl w:val="9"/>
        <w:rPr>
          <w:rFonts w:hint="eastAsia" w:ascii="宋体" w:hAnsi="宋体" w:cs="宋体"/>
          <w:color w:val="auto"/>
          <w:highlight w:val="none"/>
        </w:rPr>
      </w:pPr>
      <w:r>
        <w:rPr>
          <w:rFonts w:hint="eastAsia" w:ascii="宋体" w:hAnsi="宋体"/>
          <w:b/>
          <w:bCs/>
          <w:color w:val="auto"/>
          <w:sz w:val="30"/>
          <w:szCs w:val="30"/>
          <w:highlight w:val="none"/>
        </w:rPr>
        <w:t>四川中彩源建设工程有限公司</w:t>
      </w:r>
    </w:p>
    <w:p w14:paraId="3F902B49">
      <w:pPr>
        <w:spacing w:line="420" w:lineRule="exact"/>
        <w:jc w:val="center"/>
        <w:outlineLvl w:val="9"/>
        <w:rPr>
          <w:rFonts w:ascii="宋体" w:hAnsi="宋体"/>
          <w:bCs/>
          <w:color w:val="auto"/>
          <w:sz w:val="30"/>
          <w:szCs w:val="30"/>
          <w:highlight w:val="none"/>
        </w:rPr>
      </w:pPr>
      <w:r>
        <w:rPr>
          <w:rFonts w:hint="eastAsia" w:ascii="宋体" w:hAnsi="宋体"/>
          <w:b/>
          <w:bCs/>
          <w:color w:val="auto"/>
          <w:sz w:val="30"/>
          <w:szCs w:val="30"/>
          <w:highlight w:val="none"/>
          <w:lang w:val="en-US" w:eastAsia="zh-CN"/>
        </w:rPr>
        <w:t>XX采购</w:t>
      </w:r>
      <w:r>
        <w:rPr>
          <w:rFonts w:hint="eastAsia" w:ascii="宋体" w:hAnsi="宋体"/>
          <w:b/>
          <w:bCs/>
          <w:color w:val="auto"/>
          <w:sz w:val="30"/>
          <w:szCs w:val="30"/>
          <w:highlight w:val="none"/>
        </w:rPr>
        <w:t>合同</w:t>
      </w:r>
    </w:p>
    <w:p w14:paraId="1D172E52">
      <w:pPr>
        <w:spacing w:line="360" w:lineRule="auto"/>
        <w:ind w:left="359" w:leftChars="171" w:right="359" w:rightChars="171" w:firstLine="480" w:firstLineChars="200"/>
        <w:rPr>
          <w:rFonts w:ascii="仿宋" w:hAnsi="仿宋" w:eastAsia="仿宋" w:cs="仿宋"/>
          <w:snapToGrid w:val="0"/>
          <w:color w:val="000000"/>
          <w:kern w:val="0"/>
          <w:sz w:val="24"/>
          <w:highlight w:val="none"/>
        </w:rPr>
      </w:pPr>
      <w:r>
        <w:rPr>
          <w:rFonts w:hint="eastAsia" w:ascii="仿宋" w:hAnsi="仿宋" w:eastAsia="仿宋" w:cs="仿宋"/>
          <w:color w:val="000000"/>
          <w:sz w:val="24"/>
          <w:highlight w:val="none"/>
        </w:rPr>
        <w:t xml:space="preserve">                                    合同编号：</w:t>
      </w:r>
    </w:p>
    <w:p w14:paraId="434204DF">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rPr>
        <w:t>购买方：</w:t>
      </w:r>
      <w:r>
        <w:rPr>
          <w:rFonts w:hint="eastAsia" w:ascii="宋体" w:hAnsi="宋体"/>
          <w:color w:val="auto"/>
          <w:sz w:val="24"/>
          <w:highlight w:val="none"/>
          <w:u w:val="single"/>
        </w:rPr>
        <w:t xml:space="preserve">四川中彩源建设工程有限公司 </w:t>
      </w:r>
      <w:r>
        <w:rPr>
          <w:rFonts w:hint="eastAsia" w:ascii="宋体" w:hAnsi="宋体"/>
          <w:color w:val="auto"/>
          <w:sz w:val="24"/>
          <w:highlight w:val="none"/>
        </w:rPr>
        <w:t xml:space="preserve"> （以下简称甲方）</w:t>
      </w:r>
    </w:p>
    <w:p w14:paraId="382912A9">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rPr>
        <w:t>供货方：</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（以下简称乙方）</w:t>
      </w:r>
    </w:p>
    <w:p w14:paraId="34352520">
      <w:pPr>
        <w:keepNext w:val="0"/>
        <w:keepLines w:val="0"/>
        <w:pageBreakBefore w:val="0"/>
        <w:tabs>
          <w:tab w:val="left" w:pos="1700"/>
        </w:tabs>
        <w:kinsoku/>
        <w:wordWrap/>
        <w:overflowPunct/>
        <w:topLinePunct w:val="0"/>
        <w:autoSpaceDE/>
        <w:autoSpaceDN/>
        <w:bidi w:val="0"/>
        <w:adjustRightInd/>
        <w:snapToGrid/>
        <w:spacing w:line="240" w:lineRule="auto"/>
        <w:ind w:left="0" w:firstLine="480" w:firstLineChars="200"/>
        <w:jc w:val="left"/>
        <w:textAlignment w:val="auto"/>
        <w:rPr>
          <w:rFonts w:ascii="宋体" w:hAnsi="宋体"/>
          <w:color w:val="auto"/>
          <w:sz w:val="24"/>
          <w:highlight w:val="none"/>
        </w:rPr>
      </w:pPr>
      <w:r>
        <w:rPr>
          <w:rFonts w:ascii="宋体" w:hAnsi="宋体"/>
          <w:color w:val="auto"/>
          <w:sz w:val="24"/>
          <w:highlight w:val="none"/>
        </w:rPr>
        <w:t>根据《中华人民共和国</w:t>
      </w:r>
      <w:r>
        <w:rPr>
          <w:rFonts w:hint="eastAsia" w:ascii="宋体" w:hAnsi="宋体"/>
          <w:color w:val="auto"/>
          <w:sz w:val="24"/>
          <w:highlight w:val="none"/>
        </w:rPr>
        <w:t>民法典</w:t>
      </w:r>
      <w:r>
        <w:rPr>
          <w:rFonts w:ascii="宋体" w:hAnsi="宋体"/>
          <w:color w:val="auto"/>
          <w:sz w:val="24"/>
          <w:highlight w:val="none"/>
        </w:rPr>
        <w:t>》及相关法律法规的规定，依照平等互利的原则，为明确买卖双方的权利和义务，经双方协商一致，订立本合同。</w:t>
      </w:r>
    </w:p>
    <w:p w14:paraId="2E9A0ECF">
      <w:pPr>
        <w:keepNext w:val="0"/>
        <w:keepLines w:val="0"/>
        <w:pageBreakBefore w:val="0"/>
        <w:tabs>
          <w:tab w:val="left" w:pos="1700"/>
        </w:tabs>
        <w:kinsoku/>
        <w:wordWrap/>
        <w:overflowPunct/>
        <w:topLinePunct w:val="0"/>
        <w:autoSpaceDE/>
        <w:autoSpaceDN/>
        <w:bidi w:val="0"/>
        <w:adjustRightInd/>
        <w:snapToGrid/>
        <w:spacing w:line="240" w:lineRule="auto"/>
        <w:ind w:left="0" w:firstLine="482" w:firstLineChars="200"/>
        <w:jc w:val="left"/>
        <w:textAlignment w:val="auto"/>
        <w:outlineLvl w:val="0"/>
        <w:rPr>
          <w:rFonts w:ascii="宋体" w:hAnsi="宋体"/>
          <w:color w:val="auto"/>
          <w:sz w:val="24"/>
          <w:highlight w:val="none"/>
        </w:rPr>
      </w:pPr>
      <w:r>
        <w:rPr>
          <w:rFonts w:hint="eastAsia" w:ascii="宋体" w:hAnsi="宋体"/>
          <w:b/>
          <w:color w:val="auto"/>
          <w:sz w:val="24"/>
          <w:highlight w:val="none"/>
        </w:rPr>
        <w:t>第一条 材料交货地点、供货期限：</w:t>
      </w:r>
    </w:p>
    <w:p w14:paraId="7F3561F4">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rPr>
        <w:t>1、工程名称：</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 xml:space="preserve"> </w:t>
      </w:r>
    </w:p>
    <w:p w14:paraId="2505AF45">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2、交货地址：</w:t>
      </w:r>
      <w:r>
        <w:rPr>
          <w:rFonts w:hint="eastAsia" w:ascii="宋体" w:hAnsi="宋体"/>
          <w:color w:val="auto"/>
          <w:sz w:val="24"/>
          <w:highlight w:val="none"/>
          <w:u w:val="single"/>
        </w:rPr>
        <w:t xml:space="preserve"> </w:t>
      </w:r>
      <w:r>
        <w:rPr>
          <w:rFonts w:ascii="宋体" w:hAnsi="宋体"/>
          <w:color w:val="auto"/>
          <w:sz w:val="24"/>
          <w:highlight w:val="none"/>
          <w:u w:val="single"/>
        </w:rPr>
        <w:t>乙方需将材料运输至甲方指定的</w:t>
      </w:r>
      <w:r>
        <w:rPr>
          <w:rFonts w:hint="eastAsia" w:ascii="宋体" w:hAnsi="宋体"/>
          <w:color w:val="auto"/>
          <w:sz w:val="24"/>
          <w:highlight w:val="none"/>
          <w:u w:val="single"/>
        </w:rPr>
        <w:t xml:space="preserve">地点 </w:t>
      </w:r>
      <w:r>
        <w:rPr>
          <w:rFonts w:hint="eastAsia" w:ascii="宋体" w:hAnsi="宋体"/>
          <w:color w:val="auto"/>
          <w:sz w:val="24"/>
          <w:highlight w:val="none"/>
          <w:u w:val="single"/>
          <w:lang w:eastAsia="zh-CN"/>
        </w:rPr>
        <w:t>。</w:t>
      </w:r>
    </w:p>
    <w:p w14:paraId="7BFBD1AC">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3、供货起止时间：</w:t>
      </w:r>
      <w:r>
        <w:rPr>
          <w:rFonts w:hint="eastAsia" w:ascii="宋体" w:hAnsi="宋体"/>
          <w:color w:val="auto"/>
          <w:sz w:val="24"/>
          <w:highlight w:val="none"/>
          <w:u w:val="single"/>
          <w:lang w:val="en-US" w:eastAsia="zh-CN"/>
        </w:rPr>
        <w:t>以甲方要求为准</w:t>
      </w:r>
      <w:r>
        <w:rPr>
          <w:rFonts w:hint="eastAsia" w:ascii="宋体" w:hAnsi="宋体"/>
          <w:color w:val="auto"/>
          <w:sz w:val="24"/>
          <w:highlight w:val="none"/>
          <w:lang w:eastAsia="zh-CN"/>
        </w:rPr>
        <w:t>。</w:t>
      </w:r>
    </w:p>
    <w:p w14:paraId="7F3B7A72">
      <w:pPr>
        <w:keepNext w:val="0"/>
        <w:keepLines w:val="0"/>
        <w:pageBreakBefore w:val="0"/>
        <w:kinsoku/>
        <w:wordWrap/>
        <w:overflowPunct/>
        <w:topLinePunct w:val="0"/>
        <w:autoSpaceDE/>
        <w:autoSpaceDN/>
        <w:bidi w:val="0"/>
        <w:adjustRightInd/>
        <w:snapToGrid/>
        <w:spacing w:line="240" w:lineRule="auto"/>
        <w:ind w:left="0" w:firstLine="482" w:firstLineChars="200"/>
        <w:textAlignment w:val="auto"/>
        <w:outlineLvl w:val="0"/>
        <w:rPr>
          <w:rFonts w:ascii="宋体" w:hAnsi="宋体"/>
          <w:b/>
          <w:color w:val="auto"/>
          <w:sz w:val="24"/>
          <w:highlight w:val="none"/>
        </w:rPr>
      </w:pPr>
      <w:r>
        <w:rPr>
          <w:rFonts w:hint="eastAsia" w:ascii="宋体" w:hAnsi="宋体"/>
          <w:b/>
          <w:color w:val="auto"/>
          <w:sz w:val="24"/>
          <w:highlight w:val="none"/>
        </w:rPr>
        <w:t xml:space="preserve">第二条  </w:t>
      </w:r>
      <w:r>
        <w:rPr>
          <w:rFonts w:ascii="宋体" w:hAnsi="宋体"/>
          <w:b/>
          <w:color w:val="auto"/>
          <w:sz w:val="24"/>
          <w:highlight w:val="none"/>
        </w:rPr>
        <w:t>产品名称、型号、数量及价格</w:t>
      </w:r>
      <w:r>
        <w:rPr>
          <w:rFonts w:hint="eastAsia" w:ascii="宋体" w:hAnsi="宋体"/>
          <w:b/>
          <w:color w:val="auto"/>
          <w:sz w:val="24"/>
          <w:highlight w:val="none"/>
        </w:rPr>
        <w:t>：</w:t>
      </w:r>
    </w:p>
    <w:p w14:paraId="30CB7860">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color w:val="auto"/>
          <w:sz w:val="24"/>
          <w:highlight w:val="none"/>
        </w:rPr>
      </w:pPr>
      <w:r>
        <w:rPr>
          <w:rFonts w:hint="eastAsia" w:ascii="宋体" w:hAnsi="宋体"/>
          <w:bCs/>
          <w:color w:val="auto"/>
          <w:sz w:val="24"/>
          <w:highlight w:val="none"/>
        </w:rPr>
        <w:t>1、</w:t>
      </w:r>
      <w:r>
        <w:rPr>
          <w:rFonts w:hint="eastAsia" w:ascii="宋体" w:hAnsi="宋体"/>
          <w:color w:val="auto"/>
          <w:sz w:val="24"/>
          <w:highlight w:val="none"/>
        </w:rPr>
        <w:t>本次</w:t>
      </w:r>
      <w:r>
        <w:rPr>
          <w:rFonts w:hint="eastAsia" w:ascii="宋体" w:hAnsi="宋体"/>
          <w:color w:val="auto"/>
          <w:sz w:val="24"/>
          <w:highlight w:val="none"/>
          <w:lang w:val="en-US" w:eastAsia="zh-CN"/>
        </w:rPr>
        <w:t>材料采购</w:t>
      </w:r>
      <w:r>
        <w:rPr>
          <w:rFonts w:hint="eastAsia" w:ascii="宋体" w:hAnsi="宋体"/>
          <w:color w:val="auto"/>
          <w:sz w:val="24"/>
          <w:highlight w:val="none"/>
        </w:rPr>
        <w:t>合同总价（暂定）：</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元（大写</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w:t>
      </w:r>
      <w:r>
        <w:rPr>
          <w:rFonts w:hint="eastAsia" w:ascii="宋体" w:hAnsi="宋体"/>
          <w:color w:val="auto"/>
          <w:sz w:val="24"/>
          <w:highlight w:val="none"/>
        </w:rPr>
        <w:t>，</w:t>
      </w:r>
      <w:r>
        <w:rPr>
          <w:rFonts w:hint="eastAsia"/>
          <w:color w:val="auto"/>
          <w:sz w:val="24"/>
          <w:highlight w:val="none"/>
        </w:rPr>
        <w:t>其中不含税金额</w:t>
      </w:r>
      <w:r>
        <w:rPr>
          <w:rFonts w:hint="eastAsia" w:ascii="宋体" w:hAnsi="宋体"/>
          <w:color w:val="auto"/>
          <w:sz w:val="24"/>
          <w:highlight w:val="none"/>
          <w:u w:val="single"/>
        </w:rPr>
        <w:t>￥</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color w:val="auto"/>
          <w:sz w:val="24"/>
          <w:highlight w:val="none"/>
          <w:u w:val="single"/>
        </w:rPr>
        <w:t>元（大写</w:t>
      </w:r>
      <w:r>
        <w:rPr>
          <w:rFonts w:hint="eastAsia"/>
          <w:color w:val="auto"/>
          <w:sz w:val="24"/>
          <w:highlight w:val="none"/>
          <w:u w:val="single"/>
          <w:lang w:eastAsia="zh-CN"/>
        </w:rPr>
        <w:t>：</w:t>
      </w:r>
      <w:r>
        <w:rPr>
          <w:rFonts w:hint="eastAsia" w:ascii="宋体" w:hAnsi="宋体"/>
          <w:color w:val="auto"/>
          <w:sz w:val="24"/>
          <w:highlight w:val="none"/>
          <w:u w:val="single"/>
          <w:lang w:val="en-US" w:eastAsia="zh-CN"/>
        </w:rPr>
        <w:t xml:space="preserve">               </w:t>
      </w:r>
      <w:r>
        <w:rPr>
          <w:rFonts w:hint="eastAsia"/>
          <w:color w:val="auto"/>
          <w:sz w:val="24"/>
          <w:highlight w:val="none"/>
          <w:u w:val="single"/>
        </w:rPr>
        <w:t>）</w:t>
      </w:r>
      <w:r>
        <w:rPr>
          <w:rFonts w:hint="eastAsia"/>
          <w:color w:val="auto"/>
          <w:sz w:val="24"/>
          <w:highlight w:val="none"/>
          <w:u w:val="single"/>
          <w:lang w:eastAsia="zh-CN"/>
        </w:rPr>
        <w:t>，</w:t>
      </w:r>
      <w:r>
        <w:rPr>
          <w:rFonts w:hint="eastAsia"/>
          <w:color w:val="auto"/>
          <w:sz w:val="24"/>
          <w:highlight w:val="none"/>
          <w:u w:val="none"/>
          <w:lang w:eastAsia="zh-CN"/>
        </w:rPr>
        <w:t>税率</w:t>
      </w:r>
      <w:r>
        <w:rPr>
          <w:rFonts w:hint="eastAsia"/>
          <w:color w:val="auto"/>
          <w:sz w:val="24"/>
          <w:highlight w:val="none"/>
          <w:u w:val="single"/>
          <w:lang w:val="en-US" w:eastAsia="zh-CN"/>
        </w:rPr>
        <w:t xml:space="preserve">  </w:t>
      </w:r>
      <w:r>
        <w:rPr>
          <w:rFonts w:hint="eastAsia"/>
          <w:color w:val="auto"/>
          <w:sz w:val="24"/>
          <w:highlight w:val="none"/>
          <w:u w:val="none"/>
          <w:lang w:val="en-US" w:eastAsia="zh-CN"/>
        </w:rPr>
        <w:t>%，</w:t>
      </w:r>
      <w:r>
        <w:rPr>
          <w:rFonts w:hint="eastAsia"/>
          <w:color w:val="auto"/>
          <w:sz w:val="24"/>
          <w:highlight w:val="none"/>
          <w:u w:val="none"/>
        </w:rPr>
        <w:t>增值税额</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color w:val="auto"/>
          <w:sz w:val="24"/>
          <w:highlight w:val="none"/>
          <w:u w:val="single"/>
        </w:rPr>
        <w:t>元（大写</w:t>
      </w:r>
      <w:r>
        <w:rPr>
          <w:rFonts w:hint="eastAsia"/>
          <w:color w:val="auto"/>
          <w:sz w:val="24"/>
          <w:highlight w:val="none"/>
          <w:u w:val="single"/>
          <w:lang w:eastAsia="zh-CN"/>
        </w:rPr>
        <w:t>：</w:t>
      </w:r>
      <w:r>
        <w:rPr>
          <w:rFonts w:hint="eastAsia"/>
          <w:color w:val="auto"/>
          <w:sz w:val="24"/>
          <w:highlight w:val="none"/>
          <w:u w:val="single"/>
          <w:lang w:val="en-US" w:eastAsia="zh-CN"/>
        </w:rPr>
        <w:t xml:space="preserve">       </w:t>
      </w:r>
      <w:r>
        <w:rPr>
          <w:rFonts w:hint="eastAsia"/>
          <w:color w:val="auto"/>
          <w:sz w:val="24"/>
          <w:highlight w:val="none"/>
          <w:u w:val="single"/>
        </w:rPr>
        <w:t>）</w:t>
      </w:r>
      <w:r>
        <w:rPr>
          <w:rFonts w:hint="eastAsia" w:ascii="宋体" w:hAnsi="宋体"/>
          <w:color w:val="auto"/>
          <w:sz w:val="24"/>
          <w:highlight w:val="none"/>
        </w:rPr>
        <w:t>。</w:t>
      </w:r>
    </w:p>
    <w:p w14:paraId="4D5E8A06">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2、材料范围：</w:t>
      </w:r>
      <w:r>
        <w:rPr>
          <w:rFonts w:hint="eastAsia" w:ascii="宋体" w:hAnsi="宋体" w:cs="宋体"/>
          <w:bCs/>
          <w:color w:val="auto"/>
          <w:sz w:val="24"/>
          <w:highlight w:val="none"/>
          <w:lang w:val="en-US" w:eastAsia="zh-CN"/>
        </w:rPr>
        <w:t>详见材料</w:t>
      </w:r>
      <w:r>
        <w:rPr>
          <w:rFonts w:hint="eastAsia" w:ascii="宋体" w:hAnsi="宋体" w:cs="宋体"/>
          <w:bCs/>
          <w:color w:val="auto"/>
          <w:sz w:val="24"/>
          <w:highlight w:val="none"/>
        </w:rPr>
        <w:t>清单</w:t>
      </w:r>
      <w:r>
        <w:rPr>
          <w:rFonts w:hint="eastAsia" w:ascii="宋体" w:hAnsi="宋体" w:cs="宋体"/>
          <w:bCs/>
          <w:color w:val="auto"/>
          <w:sz w:val="24"/>
          <w:highlight w:val="none"/>
          <w:lang w:eastAsia="zh-CN"/>
        </w:rPr>
        <w:t>。</w:t>
      </w:r>
    </w:p>
    <w:p w14:paraId="21908E48">
      <w:pPr>
        <w:keepNext w:val="0"/>
        <w:keepLines w:val="0"/>
        <w:pageBreakBefore w:val="0"/>
        <w:kinsoku/>
        <w:wordWrap/>
        <w:overflowPunct/>
        <w:topLinePunct w:val="0"/>
        <w:autoSpaceDE/>
        <w:autoSpaceDN/>
        <w:bidi w:val="0"/>
        <w:adjustRightInd/>
        <w:snapToGrid/>
        <w:spacing w:line="240" w:lineRule="auto"/>
        <w:ind w:left="0" w:firstLine="482" w:firstLineChars="200"/>
        <w:textAlignment w:val="auto"/>
        <w:outlineLvl w:val="0"/>
        <w:rPr>
          <w:rFonts w:ascii="宋体" w:hAnsi="宋体"/>
          <w:color w:val="auto"/>
          <w:sz w:val="24"/>
          <w:highlight w:val="none"/>
        </w:rPr>
      </w:pPr>
      <w:r>
        <w:rPr>
          <w:rFonts w:hint="eastAsia" w:ascii="宋体" w:hAnsi="宋体"/>
          <w:b/>
          <w:color w:val="auto"/>
          <w:sz w:val="24"/>
          <w:highlight w:val="none"/>
        </w:rPr>
        <w:t>第三条  质量标准和验收：</w:t>
      </w:r>
    </w:p>
    <w:p w14:paraId="65EAEF76">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rPr>
        <w:t>1、材料应符合现行国家质量要求和行业有关标准，且符合施工要求。　　</w:t>
      </w:r>
    </w:p>
    <w:p w14:paraId="364A406C">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rPr>
        <w:t>2、乙方货到后甲方应组织人员初验，初验合格的，甲方签收；初验不合格甲方有权拒绝签收，乙方应将甲方拒绝签收的货物立即全部搬离，由此引起的损失由乙方承担；甲方初验合格，不意味着材料最终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14:paraId="1C2BD978">
      <w:pPr>
        <w:keepNext w:val="0"/>
        <w:keepLines w:val="0"/>
        <w:pageBreakBefore w:val="0"/>
        <w:kinsoku/>
        <w:wordWrap/>
        <w:overflowPunct/>
        <w:topLinePunct w:val="0"/>
        <w:autoSpaceDE/>
        <w:autoSpaceDN/>
        <w:bidi w:val="0"/>
        <w:adjustRightInd/>
        <w:snapToGrid/>
        <w:spacing w:line="240" w:lineRule="auto"/>
        <w:ind w:left="0" w:firstLine="482" w:firstLineChars="200"/>
        <w:textAlignment w:val="auto"/>
        <w:outlineLvl w:val="0"/>
        <w:rPr>
          <w:b/>
          <w:color w:val="auto"/>
          <w:sz w:val="24"/>
          <w:highlight w:val="none"/>
        </w:rPr>
      </w:pPr>
      <w:r>
        <w:rPr>
          <w:rFonts w:hint="eastAsia" w:ascii="宋体" w:hAnsi="宋体"/>
          <w:b/>
          <w:color w:val="auto"/>
          <w:sz w:val="24"/>
          <w:highlight w:val="none"/>
        </w:rPr>
        <w:t xml:space="preserve">第四条  </w:t>
      </w:r>
      <w:r>
        <w:rPr>
          <w:rFonts w:hint="eastAsia"/>
          <w:b/>
          <w:color w:val="auto"/>
          <w:sz w:val="24"/>
          <w:highlight w:val="none"/>
        </w:rPr>
        <w:t>甲方的责任和义务：</w:t>
      </w:r>
    </w:p>
    <w:p w14:paraId="75B37092">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1、甲方应根据施工进度，提前</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天向乙方提供供货计划通知，通知包括书面、口头、传真、电话、电子邮件方式。</w:t>
      </w:r>
    </w:p>
    <w:p w14:paraId="5F8F679C">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rPr>
        <w:t>2、乙方按时送达材料后，甲方应及时组织初验，初验合格的，及时签收确认，初验不合格的，通知乙方退货或作换货处理。</w:t>
      </w:r>
    </w:p>
    <w:p w14:paraId="0C8AB739">
      <w:pPr>
        <w:keepNext w:val="0"/>
        <w:keepLines w:val="0"/>
        <w:pageBreakBefore w:val="0"/>
        <w:kinsoku/>
        <w:wordWrap/>
        <w:overflowPunct/>
        <w:topLinePunct w:val="0"/>
        <w:autoSpaceDE/>
        <w:autoSpaceDN/>
        <w:bidi w:val="0"/>
        <w:adjustRightInd/>
        <w:snapToGrid/>
        <w:spacing w:line="240" w:lineRule="auto"/>
        <w:ind w:left="0" w:firstLine="482" w:firstLineChars="200"/>
        <w:textAlignment w:val="auto"/>
        <w:outlineLvl w:val="0"/>
        <w:rPr>
          <w:rFonts w:ascii="宋体" w:hAnsi="宋体"/>
          <w:b/>
          <w:color w:val="auto"/>
          <w:sz w:val="24"/>
          <w:highlight w:val="none"/>
        </w:rPr>
      </w:pPr>
      <w:r>
        <w:rPr>
          <w:rFonts w:hint="eastAsia" w:ascii="宋体" w:hAnsi="宋体"/>
          <w:b/>
          <w:color w:val="auto"/>
          <w:sz w:val="24"/>
          <w:highlight w:val="none"/>
        </w:rPr>
        <w:t>第五条　乙方的责任和义务：</w:t>
      </w:r>
    </w:p>
    <w:p w14:paraId="4BA6071E">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rPr>
        <w:t>1、乙方在收到甲方供货计划通知后</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2 </w:t>
      </w:r>
      <w:r>
        <w:rPr>
          <w:rFonts w:hint="eastAsia" w:ascii="宋体" w:hAnsi="宋体"/>
          <w:color w:val="auto"/>
          <w:sz w:val="24"/>
          <w:highlight w:val="none"/>
          <w:u w:val="single"/>
        </w:rPr>
        <w:t xml:space="preserve"> </w:t>
      </w:r>
      <w:r>
        <w:rPr>
          <w:rFonts w:hint="eastAsia" w:ascii="宋体" w:hAnsi="宋体"/>
          <w:color w:val="auto"/>
          <w:sz w:val="24"/>
          <w:highlight w:val="none"/>
        </w:rPr>
        <w:t>日内或按合同约定将材料送到甲方工地指定地点</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并完成安装</w:t>
      </w:r>
      <w:r>
        <w:rPr>
          <w:rFonts w:hint="eastAsia" w:ascii="宋体" w:hAnsi="宋体"/>
          <w:color w:val="auto"/>
          <w:sz w:val="24"/>
          <w:highlight w:val="none"/>
        </w:rPr>
        <w:t>。规格、数量、要求到货时间应严格按照甲方计划供货。乙方应按合同要求及时保质保量供应材料，如不能按时供应，或供应的材料不合格，由此给甲方造成的损失，乙方应负责赔偿。　　</w:t>
      </w:r>
    </w:p>
    <w:p w14:paraId="3434FE44">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rPr>
        <w:t>2、乙方应按国家有关规定及时向甲方提供相关资料。</w:t>
      </w:r>
    </w:p>
    <w:p w14:paraId="4F3FBAA7">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rPr>
        <w:t>3、乙方应遵守施工工地有关的规章制度，并负责乙方人员及设备的安全。　</w:t>
      </w:r>
    </w:p>
    <w:p w14:paraId="183067B2">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rPr>
        <w:t>4、乙方负责材料上下车且不另收取费用。</w:t>
      </w:r>
    </w:p>
    <w:p w14:paraId="17E6595C">
      <w:pPr>
        <w:keepNext w:val="0"/>
        <w:keepLines w:val="0"/>
        <w:pageBreakBefore w:val="0"/>
        <w:kinsoku/>
        <w:wordWrap/>
        <w:overflowPunct/>
        <w:topLinePunct w:val="0"/>
        <w:autoSpaceDE/>
        <w:autoSpaceDN/>
        <w:bidi w:val="0"/>
        <w:adjustRightInd/>
        <w:snapToGrid/>
        <w:spacing w:line="240" w:lineRule="auto"/>
        <w:ind w:left="0" w:firstLine="482" w:firstLineChars="200"/>
        <w:textAlignment w:val="auto"/>
        <w:outlineLvl w:val="0"/>
        <w:rPr>
          <w:rFonts w:ascii="宋体" w:hAnsi="宋体"/>
          <w:b/>
          <w:color w:val="auto"/>
          <w:sz w:val="24"/>
          <w:highlight w:val="none"/>
        </w:rPr>
      </w:pPr>
      <w:r>
        <w:rPr>
          <w:rFonts w:hint="eastAsia" w:ascii="宋体" w:hAnsi="宋体"/>
          <w:b/>
          <w:color w:val="auto"/>
          <w:sz w:val="24"/>
          <w:highlight w:val="none"/>
        </w:rPr>
        <w:t>第六条　甲乙双方其他约定条款：</w:t>
      </w:r>
    </w:p>
    <w:p w14:paraId="73EAC603">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rPr>
        <w:t>1、乙方保证材料在供应之前所有权确为自己所有，不存在权利瑕疵，如若引发侵权责任由乙方承担；若存在第三方对交付货物主张权利，甲方有权拒绝支付被主张权利的全部货物货款。</w:t>
      </w:r>
    </w:p>
    <w:p w14:paraId="39BE7DE9">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rPr>
        <w:t>2、双方约定材料在运到甲方指定的地点并完成卸货前，产品毁损、灭失的风险由乙方承担。</w:t>
      </w:r>
    </w:p>
    <w:p w14:paraId="32A00C73">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3、乙方必须保证通讯工具畅通,如果甲方需要材料,而无法联系到乙方，由此造成的违约金5000元/次，给甲方造成损失大于违约金时乙方按实赔偿（包含但不限于：因此材料未及时到场所造成现场窝工，工期延期等所产生的费用均</w:t>
      </w:r>
      <w:r>
        <w:rPr>
          <w:rFonts w:hint="eastAsia" w:ascii="宋体" w:hAnsi="宋体"/>
          <w:color w:val="auto"/>
          <w:sz w:val="24"/>
          <w:highlight w:val="none"/>
          <w:lang w:val="en-US" w:eastAsia="zh-CN"/>
        </w:rPr>
        <w:t>由</w:t>
      </w:r>
      <w:r>
        <w:rPr>
          <w:rFonts w:hint="eastAsia" w:ascii="宋体" w:hAnsi="宋体"/>
          <w:color w:val="auto"/>
          <w:sz w:val="24"/>
          <w:highlight w:val="none"/>
        </w:rPr>
        <w:t xml:space="preserve">乙方承担），其金额甲方直接从乙方的材料款中扣除，乙方不得以任何借口拒绝。     </w:t>
      </w:r>
    </w:p>
    <w:p w14:paraId="36B488B5">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color w:val="auto"/>
          <w:sz w:val="24"/>
          <w:highlight w:val="none"/>
        </w:rPr>
      </w:pPr>
      <w:r>
        <w:rPr>
          <w:rFonts w:hint="eastAsia" w:ascii="宋体" w:hAnsi="宋体"/>
          <w:color w:val="auto"/>
          <w:sz w:val="24"/>
          <w:highlight w:val="none"/>
        </w:rPr>
        <w:t>4、乙方不能按期交货的，应当承担本批货款总价</w:t>
      </w:r>
      <w:r>
        <w:rPr>
          <w:rFonts w:hint="eastAsia" w:ascii="宋体" w:hAnsi="宋体"/>
          <w:color w:val="auto"/>
          <w:sz w:val="24"/>
          <w:highlight w:val="none"/>
          <w:u w:val="single"/>
          <w:lang w:val="en-US" w:eastAsia="zh-CN"/>
        </w:rPr>
        <w:t xml:space="preserve"> 10  </w:t>
      </w:r>
      <w:r>
        <w:rPr>
          <w:rFonts w:hint="eastAsia" w:ascii="宋体" w:hAnsi="宋体"/>
          <w:color w:val="auto"/>
          <w:sz w:val="24"/>
          <w:highlight w:val="none"/>
          <w:u w:val="single"/>
        </w:rPr>
        <w:t>%</w:t>
      </w:r>
      <w:r>
        <w:rPr>
          <w:rFonts w:hint="eastAsia" w:ascii="宋体" w:hAnsi="宋体"/>
          <w:color w:val="auto"/>
          <w:sz w:val="24"/>
          <w:highlight w:val="none"/>
        </w:rPr>
        <w:t>的违约金，并继续履行合同。乙方提供的产品质量不符合双方约定的质量标准，应当承担合同总造价的</w:t>
      </w:r>
      <w:r>
        <w:rPr>
          <w:rFonts w:hint="eastAsia" w:ascii="宋体" w:hAnsi="宋体"/>
          <w:color w:val="auto"/>
          <w:sz w:val="24"/>
          <w:highlight w:val="none"/>
          <w:u w:val="single"/>
        </w:rPr>
        <w:t>5%</w:t>
      </w:r>
      <w:r>
        <w:rPr>
          <w:rFonts w:hint="eastAsia" w:ascii="宋体" w:hAnsi="宋体"/>
          <w:color w:val="auto"/>
          <w:sz w:val="24"/>
          <w:highlight w:val="none"/>
        </w:rPr>
        <w:t>的违约金并承担由此给甲方造成的损失，如不能继续履行合同的，甲方有权单方面解除合同。</w:t>
      </w:r>
    </w:p>
    <w:p w14:paraId="4252AA11">
      <w:pPr>
        <w:pStyle w:val="2"/>
        <w:keepNext w:val="0"/>
        <w:keepLines w:val="0"/>
        <w:pageBreakBefore w:val="0"/>
        <w:kinsoku/>
        <w:wordWrap/>
        <w:overflowPunct/>
        <w:topLinePunct w:val="0"/>
        <w:autoSpaceDE/>
        <w:autoSpaceDN/>
        <w:bidi w:val="0"/>
        <w:adjustRightInd/>
        <w:snapToGrid/>
        <w:spacing w:after="0" w:line="240" w:lineRule="auto"/>
        <w:ind w:left="0"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szCs w:val="24"/>
          <w:highlight w:val="none"/>
        </w:rPr>
        <w:t>乙方违约时，除承担违约金外还应承担甲方为主张权利产生的诉讼费、保全费、保全保险费、律师费、差旅费、公证费等全部费用。</w:t>
      </w:r>
    </w:p>
    <w:p w14:paraId="4828CE00">
      <w:pPr>
        <w:keepNext w:val="0"/>
        <w:keepLines w:val="0"/>
        <w:pageBreakBefore w:val="0"/>
        <w:kinsoku/>
        <w:wordWrap/>
        <w:overflowPunct/>
        <w:topLinePunct w:val="0"/>
        <w:autoSpaceDE/>
        <w:autoSpaceDN/>
        <w:bidi w:val="0"/>
        <w:adjustRightInd/>
        <w:snapToGrid/>
        <w:spacing w:line="240" w:lineRule="auto"/>
        <w:ind w:left="0" w:firstLine="482" w:firstLineChars="200"/>
        <w:textAlignment w:val="auto"/>
        <w:outlineLvl w:val="0"/>
        <w:rPr>
          <w:b/>
          <w:color w:val="auto"/>
          <w:sz w:val="24"/>
          <w:highlight w:val="none"/>
        </w:rPr>
      </w:pPr>
      <w:r>
        <w:rPr>
          <w:rFonts w:hint="eastAsia" w:ascii="宋体" w:hAnsi="宋体"/>
          <w:b/>
          <w:color w:val="auto"/>
          <w:sz w:val="24"/>
          <w:highlight w:val="none"/>
        </w:rPr>
        <w:t xml:space="preserve">第七条  </w:t>
      </w:r>
      <w:r>
        <w:rPr>
          <w:rFonts w:hint="eastAsia"/>
          <w:b/>
          <w:color w:val="auto"/>
          <w:sz w:val="24"/>
          <w:highlight w:val="none"/>
        </w:rPr>
        <w:t>资金结算和付款方式：</w:t>
      </w:r>
    </w:p>
    <w:p w14:paraId="26432A1A">
      <w:pPr>
        <w:pStyle w:val="10"/>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cs="宋体"/>
          <w:color w:val="auto"/>
          <w:highlight w:val="none"/>
          <w:lang w:eastAsia="zh-CN"/>
        </w:rPr>
      </w:pPr>
      <w:r>
        <w:rPr>
          <w:rFonts w:hint="eastAsia" w:ascii="宋体" w:hAnsi="宋体" w:cs="宋体"/>
          <w:color w:val="auto"/>
          <w:highlight w:val="none"/>
          <w:lang w:val="en-US" w:eastAsia="zh-CN"/>
        </w:rPr>
        <w:t>1、工程项目竣工验收合格后，支付至甲方审定货款的100%。同时扣除应扣款项。</w:t>
      </w:r>
    </w:p>
    <w:p w14:paraId="4A8691CA">
      <w:pPr>
        <w:pStyle w:val="10"/>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w:t>
      </w:r>
      <w:r>
        <w:rPr>
          <w:rFonts w:hint="eastAsia" w:ascii="宋体" w:hAnsi="宋体" w:cs="宋体"/>
          <w:color w:val="auto"/>
          <w:highlight w:val="none"/>
          <w:lang w:val="en-US" w:eastAsia="zh-CN"/>
        </w:rPr>
        <w:t>甲方付款前成交人须提供符合税法规定的全额增值税专用发票，同时需向甲方提供本合同约定货物的合格证书和出厂检测报告等办理竣工验收所须的相关资料，否则甲方有权拒绝付款，并不承担逾期付款的违约责任</w:t>
      </w:r>
      <w:r>
        <w:rPr>
          <w:rFonts w:hint="eastAsia" w:ascii="宋体" w:hAnsi="宋体"/>
          <w:color w:val="auto"/>
          <w:highlight w:val="none"/>
        </w:rPr>
        <w:t>。</w:t>
      </w:r>
    </w:p>
    <w:p w14:paraId="08D08550">
      <w:pPr>
        <w:pStyle w:val="3"/>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、项目所需材料全部供应完毕后，乙方应及时与甲方收货项目部办理结算，</w:t>
      </w:r>
      <w:r>
        <w:rPr>
          <w:rFonts w:hint="eastAsia" w:ascii="宋体" w:hAnsi="宋体"/>
          <w:bCs/>
          <w:color w:val="auto"/>
          <w:sz w:val="24"/>
          <w:highlight w:val="none"/>
        </w:rPr>
        <w:t>结算资料必须有甲方本工程项目</w:t>
      </w:r>
      <w:r>
        <w:rPr>
          <w:rFonts w:hint="eastAsia" w:ascii="宋体" w:hAnsi="宋体"/>
          <w:bCs/>
          <w:color w:val="auto"/>
          <w:sz w:val="24"/>
          <w:highlight w:val="none"/>
          <w:lang w:val="en-US" w:eastAsia="zh-CN"/>
        </w:rPr>
        <w:t>负责人</w:t>
      </w:r>
      <w:r>
        <w:rPr>
          <w:rFonts w:hint="eastAsia" w:ascii="宋体" w:hAnsi="宋体"/>
          <w:bCs/>
          <w:color w:val="auto"/>
          <w:sz w:val="24"/>
          <w:highlight w:val="none"/>
        </w:rPr>
        <w:t>签字、并经甲方公司盖章后生效</w:t>
      </w:r>
      <w:r>
        <w:rPr>
          <w:rFonts w:hint="eastAsia" w:ascii="宋体" w:hAnsi="宋体"/>
          <w:color w:val="auto"/>
          <w:sz w:val="24"/>
          <w:highlight w:val="none"/>
        </w:rPr>
        <w:t>（收料凭证等资料仅作为核对依据）。</w:t>
      </w:r>
    </w:p>
    <w:p w14:paraId="7895A1BA">
      <w:pPr>
        <w:keepNext w:val="0"/>
        <w:keepLines w:val="0"/>
        <w:pageBreakBefore w:val="0"/>
        <w:kinsoku/>
        <w:wordWrap/>
        <w:overflowPunct/>
        <w:topLinePunct w:val="0"/>
        <w:autoSpaceDE/>
        <w:autoSpaceDN/>
        <w:bidi w:val="0"/>
        <w:adjustRightInd/>
        <w:snapToGrid/>
        <w:spacing w:line="240" w:lineRule="auto"/>
        <w:ind w:left="0" w:firstLine="482" w:firstLineChars="200"/>
        <w:textAlignment w:val="auto"/>
        <w:outlineLvl w:val="0"/>
        <w:rPr>
          <w:b/>
          <w:bCs/>
          <w:color w:val="auto"/>
          <w:sz w:val="24"/>
          <w:highlight w:val="none"/>
        </w:rPr>
      </w:pPr>
      <w:r>
        <w:rPr>
          <w:rFonts w:hint="eastAsia"/>
          <w:b/>
          <w:color w:val="auto"/>
          <w:sz w:val="24"/>
          <w:highlight w:val="none"/>
        </w:rPr>
        <w:t xml:space="preserve">第八条  </w:t>
      </w:r>
      <w:r>
        <w:rPr>
          <w:b/>
          <w:bCs/>
          <w:color w:val="auto"/>
          <w:sz w:val="24"/>
          <w:highlight w:val="none"/>
        </w:rPr>
        <w:t>关于发票特别约定</w:t>
      </w:r>
      <w:r>
        <w:rPr>
          <w:rFonts w:hint="eastAsia"/>
          <w:b/>
          <w:bCs/>
          <w:color w:val="auto"/>
          <w:sz w:val="24"/>
          <w:highlight w:val="none"/>
        </w:rPr>
        <w:t>：</w:t>
      </w:r>
    </w:p>
    <w:p w14:paraId="775BCBF2">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2" w:firstLineChars="200"/>
        <w:textAlignment w:val="auto"/>
        <w:rPr>
          <w:color w:val="auto"/>
          <w:sz w:val="24"/>
          <w:szCs w:val="24"/>
          <w:highlight w:val="none"/>
        </w:rPr>
      </w:pPr>
      <w:r>
        <w:rPr>
          <w:rFonts w:hint="eastAsia"/>
          <w:b/>
          <w:bCs/>
          <w:color w:val="auto"/>
          <w:sz w:val="24"/>
          <w:szCs w:val="24"/>
          <w:highlight w:val="none"/>
        </w:rPr>
        <w:t xml:space="preserve"> </w:t>
      </w:r>
      <w:r>
        <w:rPr>
          <w:rFonts w:hint="eastAsia"/>
          <w:color w:val="auto"/>
          <w:sz w:val="24"/>
          <w:szCs w:val="24"/>
          <w:highlight w:val="none"/>
        </w:rPr>
        <w:t>1、每次付款</w:t>
      </w:r>
      <w:r>
        <w:rPr>
          <w:color w:val="auto"/>
          <w:sz w:val="24"/>
          <w:szCs w:val="24"/>
          <w:highlight w:val="none"/>
        </w:rPr>
        <w:t>前，</w:t>
      </w:r>
      <w:r>
        <w:rPr>
          <w:rFonts w:hint="eastAsia"/>
          <w:color w:val="auto"/>
          <w:sz w:val="24"/>
          <w:szCs w:val="24"/>
          <w:highlight w:val="none"/>
        </w:rPr>
        <w:t>乙方应</w:t>
      </w:r>
      <w:r>
        <w:rPr>
          <w:color w:val="auto"/>
          <w:sz w:val="24"/>
          <w:szCs w:val="24"/>
          <w:highlight w:val="none"/>
        </w:rPr>
        <w:t>依据甲方支付的金额，先行向甲方提供足额合法且符合税法规定的增值税专用发票，并在增值税专用发票开具后的</w:t>
      </w:r>
      <w:r>
        <w:rPr>
          <w:color w:val="auto"/>
          <w:sz w:val="24"/>
          <w:szCs w:val="24"/>
          <w:highlight w:val="none"/>
          <w:u w:val="single"/>
        </w:rPr>
        <w:t>3个</w:t>
      </w:r>
      <w:r>
        <w:rPr>
          <w:color w:val="auto"/>
          <w:sz w:val="24"/>
          <w:szCs w:val="24"/>
          <w:highlight w:val="none"/>
        </w:rPr>
        <w:t>工作日内送达甲方。甲方在收到乙方提供的增值税专用发票后的</w:t>
      </w:r>
      <w:r>
        <w:rPr>
          <w:color w:val="auto"/>
          <w:sz w:val="24"/>
          <w:szCs w:val="24"/>
          <w:highlight w:val="none"/>
          <w:u w:val="single"/>
        </w:rPr>
        <w:t>20个</w:t>
      </w:r>
      <w:r>
        <w:rPr>
          <w:color w:val="auto"/>
          <w:sz w:val="24"/>
          <w:szCs w:val="24"/>
          <w:highlight w:val="none"/>
        </w:rPr>
        <w:t>工作日内支付相应款项</w:t>
      </w:r>
      <w:r>
        <w:rPr>
          <w:rFonts w:hint="eastAsia"/>
          <w:color w:val="auto"/>
          <w:sz w:val="24"/>
          <w:szCs w:val="24"/>
          <w:highlight w:val="none"/>
        </w:rPr>
        <w:t>。乙方未提供发票的，</w:t>
      </w:r>
      <w:r>
        <w:rPr>
          <w:color w:val="auto"/>
          <w:sz w:val="24"/>
          <w:szCs w:val="24"/>
          <w:highlight w:val="none"/>
        </w:rPr>
        <w:t>甲方有权延迟支付相应费用</w:t>
      </w:r>
      <w:r>
        <w:rPr>
          <w:rFonts w:hint="eastAsia"/>
          <w:color w:val="auto"/>
          <w:sz w:val="24"/>
          <w:szCs w:val="24"/>
          <w:highlight w:val="none"/>
        </w:rPr>
        <w:t>且</w:t>
      </w:r>
      <w:r>
        <w:rPr>
          <w:color w:val="auto"/>
          <w:sz w:val="24"/>
          <w:szCs w:val="24"/>
          <w:highlight w:val="none"/>
        </w:rPr>
        <w:t>无须承担任何责任。</w:t>
      </w:r>
    </w:p>
    <w:p w14:paraId="4EEF6C76">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ind w:left="0" w:firstLine="480" w:firstLineChars="200"/>
        <w:textAlignment w:val="auto"/>
        <w:rPr>
          <w:color w:val="auto"/>
          <w:sz w:val="24"/>
          <w:szCs w:val="24"/>
          <w:highlight w:val="none"/>
        </w:rPr>
      </w:pPr>
      <w:r>
        <w:rPr>
          <w:rFonts w:hint="eastAsia"/>
          <w:color w:val="auto"/>
          <w:sz w:val="24"/>
          <w:szCs w:val="24"/>
          <w:highlight w:val="none"/>
        </w:rPr>
        <w:t>2、</w:t>
      </w:r>
      <w:r>
        <w:rPr>
          <w:color w:val="auto"/>
          <w:sz w:val="24"/>
          <w:szCs w:val="24"/>
          <w:highlight w:val="none"/>
        </w:rPr>
        <w:t>如因乙方发票未按期提供或发票不合规等原因，导致甲方增值税无法抵扣的，乙方承担由此对甲方造成的一切损失（包括但不限于因票据问题导致甲方无法抵扣的税款，以及由此产生的须由甲方支付的滞纳金、行政罚款等）。</w:t>
      </w:r>
    </w:p>
    <w:p w14:paraId="73100DD0">
      <w:pPr>
        <w:keepNext w:val="0"/>
        <w:keepLines w:val="0"/>
        <w:pageBreakBefore w:val="0"/>
        <w:kinsoku/>
        <w:wordWrap/>
        <w:overflowPunct/>
        <w:topLinePunct w:val="0"/>
        <w:autoSpaceDE/>
        <w:autoSpaceDN/>
        <w:bidi w:val="0"/>
        <w:adjustRightInd/>
        <w:snapToGrid/>
        <w:spacing w:line="240" w:lineRule="auto"/>
        <w:ind w:left="0" w:firstLine="482" w:firstLineChars="200"/>
        <w:textAlignment w:val="auto"/>
        <w:outlineLvl w:val="0"/>
        <w:rPr>
          <w:rFonts w:ascii="宋体" w:hAnsi="宋体"/>
          <w:b/>
          <w:color w:val="auto"/>
          <w:sz w:val="24"/>
          <w:highlight w:val="none"/>
        </w:rPr>
      </w:pPr>
      <w:r>
        <w:rPr>
          <w:rFonts w:hint="eastAsia" w:ascii="宋体" w:hAnsi="宋体"/>
          <w:b/>
          <w:color w:val="auto"/>
          <w:sz w:val="24"/>
          <w:highlight w:val="none"/>
        </w:rPr>
        <w:t>第九条　</w:t>
      </w:r>
      <w:r>
        <w:rPr>
          <w:rFonts w:ascii="宋体" w:hAnsi="宋体"/>
          <w:b/>
          <w:color w:val="auto"/>
          <w:sz w:val="24"/>
          <w:highlight w:val="none"/>
        </w:rPr>
        <w:t>合同解除及争议解决</w:t>
      </w:r>
    </w:p>
    <w:p w14:paraId="2264D5EA">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因乙方违约，甲方依约解除合同的，甲方应向乙方发出《解除合同通知书》，自通知书到达乙方生效。</w:t>
      </w:r>
    </w:p>
    <w:p w14:paraId="48A52433">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乙方违约导致甲方解除合同，甲方已接收货物处理原则如下：无质量问题且相关证明材料齐备的，甲方按合同约定结算；质量存在问题或相关证明材料不齐备的，无论甲方是否加工处理，均可予以退回并不予结算和支付货款，已经支付的，乙方应在收到解除通知书之日起</w:t>
      </w:r>
      <w:r>
        <w:rPr>
          <w:rFonts w:ascii="宋体" w:hAnsi="宋体"/>
          <w:color w:val="auto"/>
          <w:sz w:val="24"/>
          <w:highlight w:val="none"/>
          <w:u w:val="single"/>
        </w:rPr>
        <w:t>3</w:t>
      </w:r>
      <w:r>
        <w:rPr>
          <w:rFonts w:ascii="宋体" w:hAnsi="宋体"/>
          <w:color w:val="auto"/>
          <w:sz w:val="24"/>
          <w:highlight w:val="none"/>
        </w:rPr>
        <w:t>日内予以退还，否则支付甲方该部分货款每日</w:t>
      </w:r>
      <w:r>
        <w:rPr>
          <w:rFonts w:ascii="宋体" w:hAnsi="宋体"/>
          <w:color w:val="auto"/>
          <w:sz w:val="24"/>
          <w:highlight w:val="none"/>
          <w:u w:val="single"/>
        </w:rPr>
        <w:t>3‰</w:t>
      </w:r>
      <w:r>
        <w:rPr>
          <w:rFonts w:ascii="宋体" w:hAnsi="宋体"/>
          <w:color w:val="auto"/>
          <w:sz w:val="24"/>
          <w:highlight w:val="none"/>
        </w:rPr>
        <w:t>的违约金。</w:t>
      </w:r>
    </w:p>
    <w:p w14:paraId="3D2C12EE">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color w:val="auto"/>
          <w:sz w:val="24"/>
          <w:highlight w:val="none"/>
          <w:u w:val="single"/>
        </w:rPr>
      </w:pPr>
      <w:r>
        <w:rPr>
          <w:rFonts w:hint="eastAsia" w:ascii="宋体" w:hAnsi="宋体"/>
          <w:color w:val="auto"/>
          <w:sz w:val="24"/>
          <w:highlight w:val="none"/>
        </w:rPr>
        <w:t>3、</w:t>
      </w:r>
      <w:r>
        <w:rPr>
          <w:rFonts w:ascii="宋体" w:hAnsi="宋体"/>
          <w:color w:val="auto"/>
          <w:sz w:val="24"/>
          <w:highlight w:val="none"/>
        </w:rPr>
        <w:t>争议解决：合同履行过程中，发生争议应及时协商，协商不成，任何一方可向</w:t>
      </w:r>
      <w:r>
        <w:rPr>
          <w:rFonts w:ascii="宋体" w:hAnsi="宋体"/>
          <w:color w:val="auto"/>
          <w:sz w:val="24"/>
          <w:highlight w:val="none"/>
          <w:u w:val="single"/>
        </w:rPr>
        <w:t>甲方所在地</w:t>
      </w:r>
      <w:r>
        <w:rPr>
          <w:rFonts w:ascii="宋体" w:hAnsi="宋体"/>
          <w:color w:val="auto"/>
          <w:sz w:val="24"/>
          <w:highlight w:val="none"/>
        </w:rPr>
        <w:t>的人民法院提起诉讼。</w:t>
      </w:r>
    </w:p>
    <w:p w14:paraId="7BBF7888">
      <w:pPr>
        <w:keepNext w:val="0"/>
        <w:keepLines w:val="0"/>
        <w:pageBreakBefore w:val="0"/>
        <w:kinsoku/>
        <w:wordWrap/>
        <w:overflowPunct/>
        <w:topLinePunct w:val="0"/>
        <w:autoSpaceDE/>
        <w:autoSpaceDN/>
        <w:bidi w:val="0"/>
        <w:adjustRightInd/>
        <w:snapToGrid/>
        <w:spacing w:line="240" w:lineRule="auto"/>
        <w:ind w:left="0" w:firstLine="482" w:firstLineChars="200"/>
        <w:textAlignment w:val="auto"/>
        <w:outlineLvl w:val="0"/>
        <w:rPr>
          <w:rFonts w:ascii="宋体" w:hAnsi="宋体"/>
          <w:b/>
          <w:color w:val="auto"/>
          <w:sz w:val="24"/>
          <w:highlight w:val="none"/>
        </w:rPr>
      </w:pPr>
      <w:r>
        <w:rPr>
          <w:rFonts w:ascii="宋体" w:hAnsi="宋体"/>
          <w:b/>
          <w:color w:val="auto"/>
          <w:sz w:val="24"/>
          <w:highlight w:val="none"/>
        </w:rPr>
        <w:t>第十条 免责条款</w:t>
      </w:r>
      <w:r>
        <w:rPr>
          <w:rFonts w:hint="eastAsia" w:ascii="宋体" w:hAnsi="宋体"/>
          <w:b/>
          <w:color w:val="auto"/>
          <w:sz w:val="24"/>
          <w:highlight w:val="none"/>
        </w:rPr>
        <w:t>：</w:t>
      </w:r>
    </w:p>
    <w:p w14:paraId="7E19678E">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不可抗力：由于不可抗力的原因，一方不能履行本合同的，应当及时向对方通报，在取得相关有效证明以后，可以部分或者全部免予承担违约责任。 </w:t>
      </w:r>
    </w:p>
    <w:p w14:paraId="465D7CE9">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本合同所称不可抗力是指买卖双方在订立合同时不能预见、不能避免、不能克服的客观情况，包括重大自然灾害、火灾、战争等。</w:t>
      </w:r>
    </w:p>
    <w:p w14:paraId="3F80149A">
      <w:pPr>
        <w:keepNext w:val="0"/>
        <w:keepLines w:val="0"/>
        <w:pageBreakBefore w:val="0"/>
        <w:kinsoku/>
        <w:wordWrap/>
        <w:overflowPunct/>
        <w:topLinePunct w:val="0"/>
        <w:autoSpaceDE/>
        <w:autoSpaceDN/>
        <w:bidi w:val="0"/>
        <w:adjustRightInd/>
        <w:snapToGrid/>
        <w:spacing w:line="240" w:lineRule="auto"/>
        <w:ind w:left="0" w:firstLine="482" w:firstLineChars="200"/>
        <w:textAlignment w:val="auto"/>
        <w:outlineLvl w:val="0"/>
        <w:rPr>
          <w:rFonts w:ascii="宋体" w:hAnsi="宋体"/>
          <w:b/>
          <w:color w:val="auto"/>
          <w:sz w:val="24"/>
          <w:highlight w:val="none"/>
        </w:rPr>
      </w:pPr>
      <w:r>
        <w:rPr>
          <w:rFonts w:hint="eastAsia" w:ascii="宋体" w:hAnsi="宋体"/>
          <w:b/>
          <w:color w:val="auto"/>
          <w:sz w:val="24"/>
          <w:highlight w:val="none"/>
        </w:rPr>
        <w:t>第十一条  其他约定：</w:t>
      </w:r>
    </w:p>
    <w:p w14:paraId="56222B6F">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rPr>
        <w:t>1、</w:t>
      </w:r>
      <w:r>
        <w:rPr>
          <w:rFonts w:ascii="宋体" w:hAnsi="宋体"/>
          <w:bCs/>
          <w:color w:val="auto"/>
          <w:sz w:val="24"/>
          <w:highlight w:val="none"/>
          <w:lang w:bidi="en-US"/>
        </w:rPr>
        <w:t>乙方未按合同要求供应产品或所供产品达不到甲方要求</w:t>
      </w:r>
      <w:r>
        <w:rPr>
          <w:rFonts w:hint="eastAsia" w:ascii="宋体" w:hAnsi="宋体"/>
          <w:bCs/>
          <w:color w:val="auto"/>
          <w:sz w:val="24"/>
          <w:highlight w:val="none"/>
          <w:lang w:bidi="en-US"/>
        </w:rPr>
        <w:t>的，甲方</w:t>
      </w:r>
      <w:r>
        <w:rPr>
          <w:rFonts w:ascii="宋体" w:hAnsi="宋体"/>
          <w:bCs/>
          <w:color w:val="auto"/>
          <w:sz w:val="24"/>
          <w:highlight w:val="none"/>
          <w:lang w:bidi="en-US"/>
        </w:rPr>
        <w:t>享有单方书面解除</w:t>
      </w:r>
      <w:r>
        <w:rPr>
          <w:rFonts w:ascii="宋体" w:hAnsi="宋体"/>
          <w:color w:val="auto"/>
          <w:sz w:val="24"/>
          <w:highlight w:val="none"/>
        </w:rPr>
        <w:t>合同的权利，但须提前</w:t>
      </w:r>
      <w:r>
        <w:rPr>
          <w:rFonts w:ascii="宋体" w:hAnsi="宋体"/>
          <w:color w:val="auto"/>
          <w:sz w:val="24"/>
          <w:highlight w:val="none"/>
          <w:u w:val="single"/>
        </w:rPr>
        <w:t>30日</w:t>
      </w:r>
      <w:r>
        <w:rPr>
          <w:rFonts w:ascii="宋体" w:hAnsi="宋体"/>
          <w:color w:val="auto"/>
          <w:sz w:val="24"/>
          <w:highlight w:val="none"/>
        </w:rPr>
        <w:t>书面通知</w:t>
      </w:r>
      <w:r>
        <w:rPr>
          <w:rFonts w:hint="eastAsia" w:ascii="宋体" w:hAnsi="宋体"/>
          <w:color w:val="auto"/>
          <w:sz w:val="24"/>
          <w:highlight w:val="none"/>
        </w:rPr>
        <w:t>乙</w:t>
      </w:r>
      <w:r>
        <w:rPr>
          <w:rFonts w:ascii="宋体" w:hAnsi="宋体"/>
          <w:color w:val="auto"/>
          <w:sz w:val="24"/>
          <w:highlight w:val="none"/>
        </w:rPr>
        <w:t>方。</w:t>
      </w:r>
    </w:p>
    <w:p w14:paraId="291EAE89">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bCs/>
          <w:color w:val="auto"/>
          <w:sz w:val="24"/>
          <w:highlight w:val="none"/>
        </w:rPr>
      </w:pPr>
      <w:r>
        <w:rPr>
          <w:rFonts w:hint="eastAsia" w:ascii="宋体" w:hAnsi="宋体"/>
          <w:color w:val="auto"/>
          <w:sz w:val="24"/>
          <w:highlight w:val="none"/>
        </w:rPr>
        <w:t>2、</w:t>
      </w:r>
      <w:r>
        <w:rPr>
          <w:rFonts w:ascii="宋体" w:hAnsi="宋体"/>
          <w:bCs/>
          <w:color w:val="auto"/>
          <w:sz w:val="24"/>
          <w:highlight w:val="none"/>
        </w:rPr>
        <w:t>在本合同履行过程中，乙方不得以任何借口或名义单方面中断供应,否则给甲方造成经济损失全部由乙方承担。</w:t>
      </w:r>
    </w:p>
    <w:p w14:paraId="4E6B6A9D">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bCs/>
          <w:color w:val="auto"/>
          <w:sz w:val="24"/>
          <w:highlight w:val="none"/>
        </w:rPr>
      </w:pPr>
      <w:r>
        <w:rPr>
          <w:rFonts w:hint="eastAsia" w:ascii="宋体" w:hAnsi="宋体"/>
          <w:bCs/>
          <w:color w:val="auto"/>
          <w:sz w:val="24"/>
          <w:highlight w:val="none"/>
        </w:rPr>
        <w:t>3、</w:t>
      </w:r>
      <w:r>
        <w:rPr>
          <w:rFonts w:ascii="宋体" w:hAnsi="宋体"/>
          <w:bCs/>
          <w:color w:val="auto"/>
          <w:sz w:val="24"/>
          <w:highlight w:val="none"/>
        </w:rPr>
        <w:t>乙方在供应过程中发生的运输安全事故由乙方自行承担</w:t>
      </w:r>
      <w:r>
        <w:rPr>
          <w:rFonts w:hint="eastAsia" w:ascii="宋体" w:hAnsi="宋体"/>
          <w:bCs/>
          <w:color w:val="auto"/>
          <w:sz w:val="24"/>
          <w:highlight w:val="none"/>
        </w:rPr>
        <w:t>。</w:t>
      </w:r>
    </w:p>
    <w:p w14:paraId="11E38734">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bCs/>
          <w:color w:val="auto"/>
          <w:sz w:val="24"/>
          <w:highlight w:val="none"/>
        </w:rPr>
      </w:pPr>
      <w:r>
        <w:rPr>
          <w:rFonts w:hint="eastAsia" w:ascii="宋体" w:hAnsi="宋体"/>
          <w:bCs/>
          <w:color w:val="auto"/>
          <w:sz w:val="24"/>
          <w:highlight w:val="none"/>
        </w:rPr>
        <w:t>4、</w:t>
      </w:r>
      <w:r>
        <w:rPr>
          <w:rFonts w:ascii="宋体" w:hAnsi="宋体"/>
          <w:bCs/>
          <w:color w:val="auto"/>
          <w:sz w:val="24"/>
          <w:highlight w:val="none"/>
        </w:rPr>
        <w:t>乙方在卸车过程中须听从甲方的安排，材料码放整齐，不得乱堆乱放，否则甲方将按</w:t>
      </w:r>
      <w:r>
        <w:rPr>
          <w:rFonts w:ascii="宋体" w:hAnsi="宋体"/>
          <w:bCs/>
          <w:color w:val="auto"/>
          <w:sz w:val="24"/>
          <w:highlight w:val="none"/>
          <w:u w:val="single"/>
        </w:rPr>
        <w:t>500元/次</w:t>
      </w:r>
      <w:r>
        <w:rPr>
          <w:rFonts w:ascii="宋体" w:hAnsi="宋体"/>
          <w:bCs/>
          <w:color w:val="auto"/>
          <w:sz w:val="24"/>
          <w:highlight w:val="none"/>
        </w:rPr>
        <w:t>向乙方索赔二次</w:t>
      </w:r>
      <w:r>
        <w:rPr>
          <w:rFonts w:hint="eastAsia" w:ascii="宋体" w:hAnsi="宋体"/>
          <w:bCs/>
          <w:color w:val="auto"/>
          <w:sz w:val="24"/>
          <w:highlight w:val="none"/>
        </w:rPr>
        <w:t>转</w:t>
      </w:r>
      <w:r>
        <w:rPr>
          <w:rFonts w:ascii="宋体" w:hAnsi="宋体"/>
          <w:bCs/>
          <w:color w:val="auto"/>
          <w:sz w:val="24"/>
          <w:highlight w:val="none"/>
        </w:rPr>
        <w:t>运费。</w:t>
      </w:r>
    </w:p>
    <w:p w14:paraId="559C3050">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rPr>
        <w:t>5、乙方所发货品有不合规格、质量或其他不符合约定要求等情况，甲方有权拒绝付款，但须先行办理收货手续，并代为保管和立即通知供方，因此所发生的一切费用损失，由乙方负责。如甲方已付款，双方应在办完该批货物收货手续后一周内办理完成退款和退货。</w:t>
      </w:r>
    </w:p>
    <w:p w14:paraId="5A3BC2F7">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ascii="宋体" w:hAnsi="宋体"/>
          <w:color w:val="auto"/>
          <w:sz w:val="24"/>
          <w:highlight w:val="none"/>
        </w:rPr>
      </w:pPr>
      <w:r>
        <w:rPr>
          <w:rFonts w:hint="eastAsia" w:ascii="宋体" w:hAnsi="宋体"/>
          <w:color w:val="auto"/>
          <w:sz w:val="24"/>
          <w:highlight w:val="none"/>
        </w:rPr>
        <w:t>6、本合同涉及相关条款内容发生变化、修改、结算等，必须经双方签字盖章确认有效。买卖</w:t>
      </w:r>
      <w:r>
        <w:rPr>
          <w:rFonts w:hint="eastAsia" w:ascii="宋体" w:hAnsi="宋体"/>
          <w:bCs/>
          <w:color w:val="auto"/>
          <w:sz w:val="24"/>
          <w:highlight w:val="none"/>
        </w:rPr>
        <w:t>双方的任何合同协议结算资料必须经双方公司加盖公章或合同专用章方为有效，除此以外的任何合同协议结算资料等均无效</w:t>
      </w:r>
      <w:r>
        <w:rPr>
          <w:rFonts w:hint="eastAsia" w:ascii="宋体" w:hAnsi="宋体"/>
          <w:color w:val="auto"/>
          <w:sz w:val="24"/>
          <w:highlight w:val="none"/>
        </w:rPr>
        <w:t>。</w:t>
      </w:r>
    </w:p>
    <w:p w14:paraId="7A01E166">
      <w:pPr>
        <w:keepNext w:val="0"/>
        <w:keepLines w:val="0"/>
        <w:pageBreakBefore w:val="0"/>
        <w:kinsoku/>
        <w:wordWrap/>
        <w:overflowPunct/>
        <w:topLinePunct w:val="0"/>
        <w:autoSpaceDE/>
        <w:autoSpaceDN/>
        <w:bidi w:val="0"/>
        <w:adjustRightInd/>
        <w:snapToGrid/>
        <w:spacing w:line="240" w:lineRule="auto"/>
        <w:ind w:left="0" w:firstLine="482" w:firstLineChars="200"/>
        <w:textAlignment w:val="auto"/>
        <w:outlineLvl w:val="0"/>
        <w:rPr>
          <w:rFonts w:ascii="宋体" w:hAnsi="宋体"/>
          <w:b/>
          <w:color w:val="auto"/>
          <w:sz w:val="24"/>
          <w:highlight w:val="none"/>
        </w:rPr>
      </w:pPr>
      <w:r>
        <w:rPr>
          <w:rFonts w:hint="eastAsia" w:ascii="宋体" w:hAnsi="宋体"/>
          <w:b/>
          <w:color w:val="auto"/>
          <w:sz w:val="24"/>
          <w:highlight w:val="none"/>
        </w:rPr>
        <w:t>第十二条　附则：</w:t>
      </w:r>
    </w:p>
    <w:p w14:paraId="3FCCF7DE">
      <w:pPr>
        <w:keepNext w:val="0"/>
        <w:keepLines w:val="0"/>
        <w:pageBreakBefore w:val="0"/>
        <w:widowControl/>
        <w:kinsoku/>
        <w:wordWrap/>
        <w:overflowPunct/>
        <w:topLinePunct w:val="0"/>
        <w:autoSpaceDE/>
        <w:autoSpaceDN/>
        <w:bidi w:val="0"/>
        <w:adjustRightInd/>
        <w:snapToGrid/>
        <w:spacing w:line="240" w:lineRule="auto"/>
        <w:ind w:left="0"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本合同未尽事宜，双方协商后，经与签订本合同相同之程序签订补充协议。补充协议与本合同具有同等效力。</w:t>
      </w:r>
    </w:p>
    <w:p w14:paraId="6404F4B9">
      <w:pPr>
        <w:keepNext w:val="0"/>
        <w:keepLines w:val="0"/>
        <w:pageBreakBefore w:val="0"/>
        <w:widowControl/>
        <w:kinsoku/>
        <w:wordWrap/>
        <w:overflowPunct/>
        <w:topLinePunct w:val="0"/>
        <w:autoSpaceDE/>
        <w:autoSpaceDN/>
        <w:bidi w:val="0"/>
        <w:adjustRightInd/>
        <w:snapToGrid/>
        <w:spacing w:line="240" w:lineRule="auto"/>
        <w:ind w:left="0" w:firstLine="480" w:firstLineChars="200"/>
        <w:textAlignment w:val="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本合同附件作为合同的组成部分，与合同具有同等效力。</w:t>
      </w:r>
    </w:p>
    <w:p w14:paraId="4AB39888">
      <w:pPr>
        <w:keepNext w:val="0"/>
        <w:keepLines w:val="0"/>
        <w:pageBreakBefore w:val="0"/>
        <w:widowControl/>
        <w:kinsoku/>
        <w:wordWrap/>
        <w:overflowPunct/>
        <w:topLinePunct w:val="0"/>
        <w:autoSpaceDE/>
        <w:autoSpaceDN/>
        <w:bidi w:val="0"/>
        <w:adjustRightInd/>
        <w:snapToGrid/>
        <w:spacing w:line="240" w:lineRule="auto"/>
        <w:ind w:left="0" w:firstLine="480" w:firstLineChars="200"/>
        <w:textAlignment w:val="auto"/>
        <w:rPr>
          <w:rFonts w:ascii="宋体" w:hAnsi="宋体"/>
          <w:color w:val="auto"/>
          <w:sz w:val="24"/>
          <w:highlight w:val="none"/>
        </w:rPr>
      </w:pPr>
      <w:r>
        <w:rPr>
          <w:rFonts w:hint="eastAsia" w:ascii="宋体" w:hAnsi="宋体"/>
          <w:color w:val="auto"/>
          <w:kern w:val="0"/>
          <w:sz w:val="24"/>
          <w:highlight w:val="none"/>
        </w:rPr>
        <w:t>3、</w:t>
      </w:r>
      <w:r>
        <w:rPr>
          <w:rFonts w:ascii="宋体" w:hAnsi="宋体"/>
          <w:color w:val="auto"/>
          <w:sz w:val="24"/>
          <w:highlight w:val="none"/>
        </w:rPr>
        <w:t>本协议一式</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肆</w:t>
      </w:r>
      <w:r>
        <w:rPr>
          <w:rFonts w:ascii="宋体" w:hAnsi="宋体"/>
          <w:color w:val="auto"/>
          <w:sz w:val="24"/>
          <w:highlight w:val="none"/>
          <w:u w:val="single"/>
        </w:rPr>
        <w:t xml:space="preserve"> </w:t>
      </w:r>
      <w:r>
        <w:rPr>
          <w:rFonts w:ascii="宋体" w:hAnsi="宋体"/>
          <w:color w:val="auto"/>
          <w:sz w:val="24"/>
          <w:highlight w:val="none"/>
        </w:rPr>
        <w:t>份，经双方盖章生效，甲方执</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贰</w:t>
      </w:r>
      <w:r>
        <w:rPr>
          <w:rFonts w:ascii="宋体" w:hAnsi="宋体"/>
          <w:color w:val="auto"/>
          <w:sz w:val="24"/>
          <w:highlight w:val="none"/>
          <w:u w:val="single"/>
        </w:rPr>
        <w:t xml:space="preserve"> </w:t>
      </w:r>
      <w:r>
        <w:rPr>
          <w:rFonts w:ascii="宋体" w:hAnsi="宋体"/>
          <w:color w:val="auto"/>
          <w:sz w:val="24"/>
          <w:highlight w:val="none"/>
        </w:rPr>
        <w:t>份，乙方执</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贰</w:t>
      </w:r>
      <w:r>
        <w:rPr>
          <w:rFonts w:ascii="宋体" w:hAnsi="宋体"/>
          <w:color w:val="auto"/>
          <w:sz w:val="24"/>
          <w:highlight w:val="none"/>
          <w:u w:val="single"/>
        </w:rPr>
        <w:t xml:space="preserve"> </w:t>
      </w:r>
      <w:r>
        <w:rPr>
          <w:rFonts w:ascii="宋体" w:hAnsi="宋体"/>
          <w:color w:val="auto"/>
          <w:sz w:val="24"/>
          <w:highlight w:val="none"/>
        </w:rPr>
        <w:t>份，具有同等效力。</w:t>
      </w:r>
    </w:p>
    <w:p w14:paraId="3A61C887">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cs="宋体"/>
          <w:color w:val="auto"/>
          <w:sz w:val="24"/>
          <w:szCs w:val="24"/>
          <w:highlight w:val="none"/>
          <w:u w:val="single"/>
        </w:rPr>
      </w:pPr>
      <w:r>
        <w:rPr>
          <w:rFonts w:hint="eastAsia" w:cs="宋体"/>
          <w:color w:val="auto"/>
          <w:sz w:val="24"/>
          <w:highlight w:val="none"/>
        </w:rPr>
        <w:t xml:space="preserve">甲方（盖章）：                          </w:t>
      </w:r>
      <w:r>
        <w:rPr>
          <w:rFonts w:hint="eastAsia" w:cs="宋体"/>
          <w:color w:val="auto"/>
          <w:sz w:val="24"/>
          <w:szCs w:val="24"/>
          <w:highlight w:val="none"/>
        </w:rPr>
        <w:t>乙方：（盖章）</w:t>
      </w:r>
    </w:p>
    <w:p w14:paraId="04104163">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cs="宋体"/>
          <w:color w:val="auto"/>
          <w:sz w:val="24"/>
          <w:highlight w:val="none"/>
          <w:u w:val="single"/>
        </w:rPr>
      </w:pPr>
      <w:r>
        <w:rPr>
          <w:rFonts w:hint="eastAsia" w:cs="宋体"/>
          <w:color w:val="auto"/>
          <w:sz w:val="24"/>
          <w:highlight w:val="none"/>
        </w:rPr>
        <w:t xml:space="preserve">法定代表人或                          </w:t>
      </w:r>
      <w:r>
        <w:rPr>
          <w:rFonts w:hint="eastAsia" w:cs="宋体"/>
          <w:color w:val="auto"/>
          <w:sz w:val="24"/>
          <w:highlight w:val="none"/>
          <w:lang w:val="en-US" w:eastAsia="zh-CN"/>
        </w:rPr>
        <w:t xml:space="preserve">  </w:t>
      </w:r>
      <w:r>
        <w:rPr>
          <w:rFonts w:hint="eastAsia" w:cs="宋体"/>
          <w:color w:val="auto"/>
          <w:sz w:val="24"/>
          <w:highlight w:val="none"/>
        </w:rPr>
        <w:t>法定代表人或</w:t>
      </w:r>
    </w:p>
    <w:p w14:paraId="65236204">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cs="宋体"/>
          <w:color w:val="auto"/>
          <w:sz w:val="24"/>
          <w:highlight w:val="none"/>
        </w:rPr>
      </w:pPr>
      <w:r>
        <w:rPr>
          <w:rFonts w:hint="eastAsia" w:cs="宋体"/>
          <w:color w:val="auto"/>
          <w:sz w:val="24"/>
          <w:highlight w:val="none"/>
        </w:rPr>
        <w:t>委托代理人：</w:t>
      </w:r>
      <w:r>
        <w:rPr>
          <w:rFonts w:hint="eastAsia" w:cs="宋体"/>
          <w:color w:val="auto"/>
          <w:sz w:val="24"/>
          <w:highlight w:val="none"/>
          <w:u w:val="single"/>
        </w:rPr>
        <w:t xml:space="preserve">                         </w:t>
      </w:r>
      <w:r>
        <w:rPr>
          <w:rFonts w:hint="eastAsia" w:cs="宋体"/>
          <w:color w:val="auto"/>
          <w:sz w:val="24"/>
          <w:highlight w:val="none"/>
        </w:rPr>
        <w:t xml:space="preserve"> </w:t>
      </w:r>
      <w:r>
        <w:rPr>
          <w:rFonts w:hint="eastAsia" w:cs="宋体"/>
          <w:color w:val="auto"/>
          <w:sz w:val="24"/>
          <w:highlight w:val="none"/>
          <w:lang w:val="en-US" w:eastAsia="zh-CN"/>
        </w:rPr>
        <w:t xml:space="preserve">  </w:t>
      </w:r>
      <w:r>
        <w:rPr>
          <w:rFonts w:hint="eastAsia" w:cs="宋体"/>
          <w:color w:val="auto"/>
          <w:sz w:val="24"/>
          <w:highlight w:val="none"/>
        </w:rPr>
        <w:t>委托代理人：</w:t>
      </w:r>
      <w:r>
        <w:rPr>
          <w:rFonts w:hint="eastAsia" w:cs="宋体"/>
          <w:color w:val="auto"/>
          <w:sz w:val="24"/>
          <w:highlight w:val="none"/>
          <w:u w:val="single"/>
        </w:rPr>
        <w:t xml:space="preserve">                          </w:t>
      </w:r>
    </w:p>
    <w:p w14:paraId="6430FDC8">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cs="宋体"/>
          <w:color w:val="auto"/>
          <w:sz w:val="24"/>
          <w:highlight w:val="none"/>
          <w:u w:val="single"/>
        </w:rPr>
      </w:pPr>
      <w:r>
        <w:rPr>
          <w:rFonts w:hint="eastAsia" w:cs="宋体"/>
          <w:color w:val="auto"/>
          <w:sz w:val="24"/>
          <w:highlight w:val="none"/>
        </w:rPr>
        <w:t>联系电话：</w:t>
      </w:r>
      <w:r>
        <w:rPr>
          <w:rFonts w:hint="eastAsia" w:cs="宋体"/>
          <w:color w:val="auto"/>
          <w:sz w:val="24"/>
          <w:highlight w:val="none"/>
          <w:u w:val="single"/>
        </w:rPr>
        <w:t xml:space="preserve">                           </w:t>
      </w:r>
      <w:r>
        <w:rPr>
          <w:rFonts w:hint="eastAsia" w:cs="宋体"/>
          <w:color w:val="auto"/>
          <w:sz w:val="24"/>
          <w:highlight w:val="none"/>
        </w:rPr>
        <w:t xml:space="preserve"> </w:t>
      </w:r>
      <w:r>
        <w:rPr>
          <w:rFonts w:hint="eastAsia" w:cs="宋体"/>
          <w:color w:val="auto"/>
          <w:sz w:val="24"/>
          <w:highlight w:val="none"/>
          <w:lang w:val="en-US" w:eastAsia="zh-CN"/>
        </w:rPr>
        <w:t xml:space="preserve">  </w:t>
      </w:r>
      <w:r>
        <w:rPr>
          <w:rFonts w:hint="eastAsia" w:cs="宋体"/>
          <w:color w:val="auto"/>
          <w:sz w:val="24"/>
          <w:highlight w:val="none"/>
        </w:rPr>
        <w:t>联系电话：</w:t>
      </w:r>
      <w:r>
        <w:rPr>
          <w:rFonts w:hint="eastAsia" w:cs="宋体"/>
          <w:color w:val="auto"/>
          <w:sz w:val="24"/>
          <w:highlight w:val="none"/>
          <w:u w:val="single"/>
        </w:rPr>
        <w:t xml:space="preserve">                     </w:t>
      </w:r>
    </w:p>
    <w:p w14:paraId="4B5BF3B7">
      <w:pPr>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jc w:val="left"/>
        <w:textAlignment w:val="auto"/>
        <w:rPr>
          <w:rFonts w:hint="default" w:eastAsia="宋体" w:cs="宋体"/>
          <w:color w:val="auto"/>
          <w:sz w:val="24"/>
          <w:szCs w:val="24"/>
          <w:highlight w:val="none"/>
          <w:u w:val="single"/>
          <w:lang w:val="en-US" w:eastAsia="zh-CN"/>
        </w:rPr>
      </w:pPr>
      <w:r>
        <w:rPr>
          <w:rFonts w:hint="eastAsia" w:cs="宋体"/>
          <w:color w:val="auto"/>
          <w:sz w:val="24"/>
          <w:highlight w:val="none"/>
        </w:rPr>
        <w:t>开户行：</w:t>
      </w:r>
      <w:r>
        <w:rPr>
          <w:rFonts w:hint="eastAsia" w:cs="宋体"/>
          <w:color w:val="auto"/>
          <w:sz w:val="24"/>
          <w:highlight w:val="none"/>
          <w:u w:val="single"/>
        </w:rPr>
        <w:t xml:space="preserve">                             </w:t>
      </w:r>
      <w:r>
        <w:rPr>
          <w:rFonts w:hint="eastAsia" w:cs="宋体"/>
          <w:color w:val="auto"/>
          <w:sz w:val="24"/>
          <w:highlight w:val="none"/>
        </w:rPr>
        <w:t xml:space="preserve"> </w:t>
      </w:r>
      <w:r>
        <w:rPr>
          <w:rFonts w:hint="eastAsia" w:cs="宋体"/>
          <w:color w:val="auto"/>
          <w:sz w:val="24"/>
          <w:highlight w:val="none"/>
          <w:lang w:val="en-US" w:eastAsia="zh-CN"/>
        </w:rPr>
        <w:t xml:space="preserve">  </w:t>
      </w:r>
      <w:r>
        <w:rPr>
          <w:rFonts w:hint="eastAsia" w:cs="宋体"/>
          <w:color w:val="auto"/>
          <w:sz w:val="24"/>
          <w:szCs w:val="24"/>
          <w:highlight w:val="none"/>
        </w:rPr>
        <w:t>开户行：</w:t>
      </w:r>
      <w:r>
        <w:rPr>
          <w:rFonts w:hint="eastAsia" w:cs="宋体"/>
          <w:color w:val="auto"/>
          <w:sz w:val="24"/>
          <w:szCs w:val="24"/>
          <w:highlight w:val="none"/>
          <w:u w:val="single"/>
          <w:lang w:val="en-US" w:eastAsia="zh-CN"/>
        </w:rPr>
        <w:t xml:space="preserve">                      </w:t>
      </w:r>
    </w:p>
    <w:p w14:paraId="264DBDEE">
      <w:pPr>
        <w:keepNext w:val="0"/>
        <w:keepLines w:val="0"/>
        <w:pageBreakBefore w:val="0"/>
        <w:widowControl/>
        <w:suppressLineNumbers w:val="0"/>
        <w:kinsoku/>
        <w:wordWrap/>
        <w:overflowPunct/>
        <w:topLinePunct w:val="0"/>
        <w:autoSpaceDE/>
        <w:autoSpaceDN/>
        <w:bidi w:val="0"/>
        <w:adjustRightInd/>
        <w:snapToGrid/>
        <w:spacing w:line="240" w:lineRule="auto"/>
        <w:ind w:left="0" w:firstLine="480" w:firstLineChars="200"/>
        <w:jc w:val="left"/>
        <w:textAlignment w:val="auto"/>
        <w:rPr>
          <w:rFonts w:hint="default" w:eastAsia="宋体"/>
          <w:u w:val="single"/>
          <w:lang w:val="en-US" w:eastAsia="zh-CN"/>
        </w:rPr>
      </w:pPr>
      <w:r>
        <w:rPr>
          <w:rFonts w:hint="eastAsia" w:cs="宋体"/>
          <w:color w:val="auto"/>
          <w:sz w:val="24"/>
          <w:highlight w:val="none"/>
        </w:rPr>
        <w:t>账</w:t>
      </w:r>
      <w:r>
        <w:rPr>
          <w:rFonts w:hint="eastAsia" w:cs="宋体"/>
          <w:color w:val="auto"/>
          <w:sz w:val="24"/>
          <w:highlight w:val="none"/>
          <w:lang w:val="en-US" w:eastAsia="zh-CN"/>
        </w:rPr>
        <w:t xml:space="preserve">  </w:t>
      </w:r>
      <w:r>
        <w:rPr>
          <w:rFonts w:hint="eastAsia" w:cs="宋体"/>
          <w:color w:val="auto"/>
          <w:sz w:val="24"/>
          <w:highlight w:val="none"/>
        </w:rPr>
        <w:t>号：</w:t>
      </w:r>
      <w:r>
        <w:rPr>
          <w:rFonts w:hint="eastAsia" w:cs="宋体"/>
          <w:color w:val="auto"/>
          <w:sz w:val="24"/>
          <w:highlight w:val="none"/>
          <w:u w:val="single"/>
        </w:rPr>
        <w:t xml:space="preserve">                             </w:t>
      </w:r>
      <w:r>
        <w:rPr>
          <w:rFonts w:hint="eastAsia" w:cs="宋体"/>
          <w:color w:val="auto"/>
          <w:sz w:val="24"/>
          <w:highlight w:val="none"/>
          <w:u w:val="none"/>
          <w:lang w:val="en-US" w:eastAsia="zh-CN"/>
        </w:rPr>
        <w:t xml:space="preserve">    </w:t>
      </w:r>
      <w:r>
        <w:rPr>
          <w:rFonts w:hint="eastAsia" w:cs="宋体"/>
          <w:color w:val="auto"/>
          <w:sz w:val="24"/>
          <w:highlight w:val="none"/>
        </w:rPr>
        <w:t>账</w:t>
      </w:r>
      <w:r>
        <w:rPr>
          <w:rFonts w:hint="eastAsia" w:cs="宋体"/>
          <w:color w:val="auto"/>
          <w:sz w:val="24"/>
          <w:highlight w:val="none"/>
          <w:lang w:val="en-US" w:eastAsia="zh-CN"/>
        </w:rPr>
        <w:t xml:space="preserve">  </w:t>
      </w:r>
      <w:r>
        <w:rPr>
          <w:rFonts w:hint="eastAsia" w:cs="宋体"/>
          <w:color w:val="auto"/>
          <w:sz w:val="24"/>
          <w:highlight w:val="none"/>
        </w:rPr>
        <w:t>号：</w:t>
      </w:r>
      <w:r>
        <w:rPr>
          <w:rFonts w:hint="eastAsia" w:cs="宋体"/>
          <w:color w:val="auto"/>
          <w:sz w:val="24"/>
          <w:highlight w:val="none"/>
          <w:u w:val="single"/>
          <w:lang w:val="en-US" w:eastAsia="zh-CN"/>
        </w:rPr>
        <w:t xml:space="preserve">                      </w:t>
      </w:r>
    </w:p>
    <w:p w14:paraId="0B62EC3B">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cs="宋体"/>
          <w:color w:val="auto"/>
          <w:sz w:val="24"/>
          <w:highlight w:val="none"/>
          <w:u w:val="single"/>
        </w:rPr>
      </w:pPr>
      <w:r>
        <w:rPr>
          <w:rFonts w:hint="eastAsia" w:cs="宋体"/>
          <w:color w:val="auto"/>
          <w:sz w:val="24"/>
          <w:highlight w:val="none"/>
        </w:rPr>
        <w:t>传</w:t>
      </w:r>
      <w:r>
        <w:rPr>
          <w:rFonts w:hint="eastAsia" w:cs="宋体"/>
          <w:color w:val="auto"/>
          <w:sz w:val="24"/>
          <w:highlight w:val="none"/>
          <w:lang w:val="en-US" w:eastAsia="zh-CN"/>
        </w:rPr>
        <w:t xml:space="preserve">  </w:t>
      </w:r>
      <w:r>
        <w:rPr>
          <w:rFonts w:hint="eastAsia" w:cs="宋体"/>
          <w:color w:val="auto"/>
          <w:sz w:val="24"/>
          <w:highlight w:val="none"/>
        </w:rPr>
        <w:t>真：</w:t>
      </w:r>
      <w:r>
        <w:rPr>
          <w:rFonts w:hint="eastAsia" w:cs="宋体"/>
          <w:color w:val="auto"/>
          <w:sz w:val="24"/>
          <w:highlight w:val="none"/>
          <w:u w:val="single"/>
        </w:rPr>
        <w:t xml:space="preserve">                               </w:t>
      </w:r>
      <w:r>
        <w:rPr>
          <w:rFonts w:hint="eastAsia" w:cs="宋体"/>
          <w:color w:val="auto"/>
          <w:sz w:val="24"/>
          <w:highlight w:val="none"/>
        </w:rPr>
        <w:t xml:space="preserve"> 传</w:t>
      </w:r>
      <w:r>
        <w:rPr>
          <w:rFonts w:hint="eastAsia" w:cs="宋体"/>
          <w:color w:val="auto"/>
          <w:sz w:val="24"/>
          <w:highlight w:val="none"/>
          <w:lang w:val="en-US" w:eastAsia="zh-CN"/>
        </w:rPr>
        <w:t xml:space="preserve">  </w:t>
      </w:r>
      <w:r>
        <w:rPr>
          <w:rFonts w:hint="eastAsia" w:cs="宋体"/>
          <w:color w:val="auto"/>
          <w:sz w:val="24"/>
          <w:highlight w:val="none"/>
        </w:rPr>
        <w:t>真：</w:t>
      </w:r>
      <w:r>
        <w:rPr>
          <w:rFonts w:hint="eastAsia" w:cs="宋体"/>
          <w:color w:val="auto"/>
          <w:sz w:val="24"/>
          <w:highlight w:val="none"/>
          <w:u w:val="single"/>
        </w:rPr>
        <w:t xml:space="preserve">                                 </w:t>
      </w:r>
    </w:p>
    <w:p w14:paraId="7124B569">
      <w:pPr>
        <w:keepNext w:val="0"/>
        <w:keepLines w:val="0"/>
        <w:pageBreakBefore w:val="0"/>
        <w:tabs>
          <w:tab w:val="left" w:pos="5040"/>
        </w:tabs>
        <w:kinsoku/>
        <w:wordWrap/>
        <w:overflowPunct/>
        <w:topLinePunct w:val="0"/>
        <w:autoSpaceDE/>
        <w:autoSpaceDN/>
        <w:bidi w:val="0"/>
        <w:adjustRightInd/>
        <w:snapToGrid/>
        <w:spacing w:line="240" w:lineRule="auto"/>
        <w:ind w:left="0" w:firstLine="480" w:firstLineChars="200"/>
        <w:textAlignment w:val="auto"/>
        <w:rPr>
          <w:rFonts w:cs="宋体"/>
          <w:color w:val="auto"/>
          <w:sz w:val="24"/>
          <w:highlight w:val="none"/>
        </w:rPr>
      </w:pPr>
      <w:r>
        <w:rPr>
          <w:rFonts w:hint="eastAsia" w:cs="宋体"/>
          <w:color w:val="auto"/>
          <w:sz w:val="24"/>
          <w:highlight w:val="none"/>
        </w:rPr>
        <w:t>日  期：</w:t>
      </w:r>
      <w:r>
        <w:rPr>
          <w:rFonts w:hint="eastAsia" w:cs="宋体"/>
          <w:color w:val="auto"/>
          <w:sz w:val="24"/>
          <w:highlight w:val="none"/>
          <w:u w:val="single"/>
        </w:rPr>
        <w:t xml:space="preserve">    </w:t>
      </w:r>
      <w:r>
        <w:rPr>
          <w:rFonts w:hint="eastAsia" w:cs="宋体"/>
          <w:color w:val="auto"/>
          <w:sz w:val="24"/>
          <w:highlight w:val="none"/>
        </w:rPr>
        <w:t>年</w:t>
      </w:r>
      <w:r>
        <w:rPr>
          <w:rFonts w:hint="eastAsia" w:cs="宋体"/>
          <w:color w:val="auto"/>
          <w:sz w:val="24"/>
          <w:highlight w:val="none"/>
          <w:u w:val="single"/>
        </w:rPr>
        <w:t xml:space="preserve">     </w:t>
      </w:r>
      <w:r>
        <w:rPr>
          <w:rFonts w:hint="eastAsia" w:cs="宋体"/>
          <w:color w:val="auto"/>
          <w:sz w:val="24"/>
          <w:highlight w:val="none"/>
        </w:rPr>
        <w:t>月</w:t>
      </w:r>
      <w:r>
        <w:rPr>
          <w:rFonts w:hint="eastAsia" w:cs="宋体"/>
          <w:color w:val="auto"/>
          <w:sz w:val="24"/>
          <w:highlight w:val="none"/>
          <w:u w:val="single"/>
        </w:rPr>
        <w:t xml:space="preserve">     </w:t>
      </w:r>
      <w:r>
        <w:rPr>
          <w:rFonts w:hint="eastAsia" w:cs="宋体"/>
          <w:color w:val="auto"/>
          <w:sz w:val="24"/>
          <w:highlight w:val="none"/>
        </w:rPr>
        <w:t xml:space="preserve">日    </w:t>
      </w:r>
      <w:r>
        <w:rPr>
          <w:rFonts w:hint="eastAsia" w:cs="宋体"/>
          <w:color w:val="auto"/>
          <w:sz w:val="24"/>
          <w:highlight w:val="none"/>
          <w:lang w:val="en-US" w:eastAsia="zh-CN"/>
        </w:rPr>
        <w:t xml:space="preserve">        </w:t>
      </w:r>
      <w:r>
        <w:rPr>
          <w:rFonts w:hint="eastAsia" w:cs="宋体"/>
          <w:color w:val="auto"/>
          <w:sz w:val="24"/>
          <w:highlight w:val="none"/>
        </w:rPr>
        <w:t>日  期：</w:t>
      </w:r>
      <w:r>
        <w:rPr>
          <w:rFonts w:hint="eastAsia" w:cs="宋体"/>
          <w:color w:val="auto"/>
          <w:sz w:val="24"/>
          <w:highlight w:val="none"/>
          <w:u w:val="single"/>
        </w:rPr>
        <w:t xml:space="preserve"> </w:t>
      </w:r>
      <w:r>
        <w:rPr>
          <w:rFonts w:hint="eastAsia" w:cs="宋体"/>
          <w:color w:val="auto"/>
          <w:sz w:val="24"/>
          <w:highlight w:val="none"/>
          <w:u w:val="single"/>
          <w:lang w:val="en-US" w:eastAsia="zh-CN"/>
        </w:rPr>
        <w:t xml:space="preserve">  </w:t>
      </w:r>
      <w:r>
        <w:rPr>
          <w:rFonts w:hint="eastAsia" w:cs="宋体"/>
          <w:color w:val="auto"/>
          <w:sz w:val="24"/>
          <w:highlight w:val="none"/>
          <w:u w:val="single"/>
        </w:rPr>
        <w:t xml:space="preserve">  </w:t>
      </w:r>
      <w:r>
        <w:rPr>
          <w:rFonts w:hint="eastAsia" w:cs="宋体"/>
          <w:color w:val="auto"/>
          <w:sz w:val="24"/>
          <w:highlight w:val="none"/>
        </w:rPr>
        <w:t>年</w:t>
      </w:r>
      <w:r>
        <w:rPr>
          <w:rFonts w:hint="eastAsia" w:cs="宋体"/>
          <w:color w:val="auto"/>
          <w:sz w:val="24"/>
          <w:highlight w:val="none"/>
          <w:u w:val="single"/>
        </w:rPr>
        <w:t xml:space="preserve">   </w:t>
      </w:r>
      <w:r>
        <w:rPr>
          <w:rFonts w:hint="eastAsia" w:cs="宋体"/>
          <w:color w:val="auto"/>
          <w:sz w:val="24"/>
          <w:highlight w:val="none"/>
        </w:rPr>
        <w:t>月</w:t>
      </w:r>
      <w:r>
        <w:rPr>
          <w:rFonts w:hint="eastAsia" w:cs="宋体"/>
          <w:color w:val="auto"/>
          <w:sz w:val="24"/>
          <w:highlight w:val="none"/>
          <w:u w:val="single"/>
        </w:rPr>
        <w:t xml:space="preserve">   </w:t>
      </w:r>
      <w:r>
        <w:rPr>
          <w:rFonts w:hint="eastAsia" w:cs="宋体"/>
          <w:color w:val="auto"/>
          <w:sz w:val="24"/>
          <w:highlight w:val="none"/>
        </w:rPr>
        <w:t>日</w:t>
      </w:r>
    </w:p>
    <w:p w14:paraId="3CCB116C">
      <w:pPr>
        <w:pStyle w:val="11"/>
        <w:spacing w:line="500" w:lineRule="exact"/>
        <w:ind w:firstLine="240" w:firstLineChars="100"/>
        <w:rPr>
          <w:rFonts w:hint="default" w:ascii="宋体" w:hAnsi="宋体" w:cs="宋体"/>
          <w:color w:val="auto"/>
          <w:highlight w:val="none"/>
          <w:lang w:val="en-US" w:eastAsia="zh-CN"/>
        </w:rPr>
      </w:pPr>
    </w:p>
    <w:p w14:paraId="7893D480">
      <w:pPr>
        <w:rPr>
          <w:rFonts w:hint="default"/>
          <w:lang w:val="en-US" w:eastAsia="zh-CN"/>
        </w:rPr>
      </w:pPr>
    </w:p>
    <w:p w14:paraId="028282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OTFiOWFkNzdhNGE5M2E2NTY1ODJiOTQxMTYzNjEifQ=="/>
  </w:docVars>
  <w:rsids>
    <w:rsidRoot w:val="78FB0AB6"/>
    <w:rsid w:val="78FB0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2"/>
    <w:semiHidden/>
    <w:qFormat/>
    <w:uiPriority w:val="0"/>
    <w:pPr>
      <w:ind w:firstLine="420" w:firstLineChars="100"/>
    </w:pPr>
    <w:rPr>
      <w:rFonts w:eastAsia="Times New Roman"/>
    </w:rPr>
  </w:style>
  <w:style w:type="paragraph" w:customStyle="1" w:styleId="9">
    <w:name w:val="正文2"/>
    <w:basedOn w:val="1"/>
    <w:next w:val="1"/>
    <w:autoRedefine/>
    <w:qFormat/>
    <w:uiPriority w:val="0"/>
    <w:rPr>
      <w:rFonts w:ascii="仿宋_GB2312" w:eastAsia="仿宋_GB2312"/>
      <w:sz w:val="32"/>
      <w:szCs w:val="20"/>
    </w:rPr>
  </w:style>
  <w:style w:type="paragraph" w:customStyle="1" w:styleId="10">
    <w:name w:val="样式 首行缩进:  2 字符"/>
    <w:basedOn w:val="1"/>
    <w:qFormat/>
    <w:uiPriority w:val="0"/>
    <w:pPr>
      <w:spacing w:line="400" w:lineRule="exact"/>
      <w:ind w:firstLine="200" w:firstLineChars="200"/>
    </w:pPr>
    <w:rPr>
      <w:sz w:val="24"/>
    </w:rPr>
  </w:style>
  <w:style w:type="paragraph" w:customStyle="1" w:styleId="11">
    <w:name w:val="正文文本缩进2"/>
    <w:basedOn w:val="1"/>
    <w:qFormat/>
    <w:uiPriority w:val="0"/>
    <w:pPr>
      <w:spacing w:line="264" w:lineRule="auto"/>
      <w:ind w:firstLine="48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2024-07-26T09:16:00Z</dcterms:created>
  <dc:creator>三岁羡</dc:creator>
  <cp:lastModifiedBy>三岁羡</cp:lastModifiedBy>
  <dcterms:modified xsi:type="dcterms:W3CDTF">2024-07-26T09:16:53Z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9F27B76DFE2F45DFB7CC78AAA5A781A2_11</vt:lpwstr>
  </property>
</Properties>
</file>