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EC0CD">
      <w:pPr>
        <w:spacing w:line="360" w:lineRule="auto"/>
        <w:ind w:firstLine="0" w:firstLineChars="0"/>
        <w:jc w:val="center"/>
        <w:outlineLvl w:val="1"/>
        <w:rPr>
          <w:rFonts w:hint="default" w:ascii="Times New Roman" w:hAnsi="Times New Roman" w:eastAsia="仿宋" w:cs="Times New Roman"/>
          <w:b/>
          <w:color w:val="auto"/>
          <w:sz w:val="32"/>
          <w:szCs w:val="32"/>
          <w:highlight w:val="none"/>
          <w:u w:val="none"/>
        </w:rPr>
      </w:pPr>
      <w:r>
        <w:rPr>
          <w:rFonts w:hint="default" w:ascii="Times New Roman" w:hAnsi="Times New Roman" w:eastAsia="仿宋" w:cs="Times New Roman"/>
          <w:b/>
          <w:color w:val="auto"/>
          <w:sz w:val="32"/>
          <w:szCs w:val="32"/>
          <w:highlight w:val="none"/>
          <w:lang w:val="en-US" w:eastAsia="zh-CN"/>
        </w:rPr>
        <w:t>一、</w:t>
      </w:r>
      <w:r>
        <w:rPr>
          <w:rFonts w:hint="default" w:ascii="Times New Roman" w:hAnsi="Times New Roman" w:eastAsia="仿宋" w:cs="Times New Roman"/>
          <w:b/>
          <w:color w:val="auto"/>
          <w:sz w:val="32"/>
          <w:szCs w:val="32"/>
          <w:highlight w:val="none"/>
        </w:rPr>
        <w:t>授权委托书</w:t>
      </w:r>
    </w:p>
    <w:p w14:paraId="65274189">
      <w:pPr>
        <w:spacing w:line="460" w:lineRule="exact"/>
        <w:ind w:firstLine="600" w:firstLineChars="250"/>
        <w:rPr>
          <w:rFonts w:hint="default" w:ascii="Times New Roman" w:hAnsi="Times New Roman" w:eastAsia="仿宋" w:cs="Times New Roman"/>
          <w:color w:val="auto"/>
          <w:sz w:val="24"/>
          <w:highlight w:val="none"/>
          <w:u w:val="single"/>
        </w:rPr>
      </w:pPr>
    </w:p>
    <w:p w14:paraId="6089ADB7">
      <w:pPr>
        <w:keepNext w:val="0"/>
        <w:keepLines w:val="0"/>
        <w:pageBreakBefore w:val="0"/>
        <w:widowControl w:val="0"/>
        <w:tabs>
          <w:tab w:val="center" w:pos="4873"/>
          <w:tab w:val="left" w:pos="7327"/>
        </w:tabs>
        <w:kinsoku/>
        <w:wordWrap/>
        <w:overflowPunct/>
        <w:topLinePunct w:val="0"/>
        <w:autoSpaceDE/>
        <w:autoSpaceDN/>
        <w:bidi w:val="0"/>
        <w:adjustRightInd/>
        <w:snapToGrid/>
        <w:spacing w:line="570" w:lineRule="exact"/>
        <w:ind w:firstLine="560" w:firstLineChars="200"/>
        <w:jc w:val="lef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u w:val="single"/>
        </w:rPr>
        <w:t xml:space="preserve">                      </w:t>
      </w:r>
      <w:r>
        <w:rPr>
          <w:rFonts w:hint="default" w:ascii="Times New Roman" w:hAnsi="Times New Roman" w:eastAsia="仿宋" w:cs="Times New Roman"/>
          <w:color w:val="auto"/>
          <w:sz w:val="28"/>
          <w:szCs w:val="28"/>
          <w:highlight w:val="none"/>
          <w:u w:val="none"/>
        </w:rPr>
        <w:t xml:space="preserve"> 公司</w:t>
      </w:r>
      <w:r>
        <w:rPr>
          <w:rFonts w:hint="default" w:ascii="Times New Roman" w:hAnsi="Times New Roman" w:eastAsia="仿宋" w:cs="Times New Roman"/>
          <w:color w:val="auto"/>
          <w:sz w:val="28"/>
          <w:szCs w:val="28"/>
          <w:highlight w:val="none"/>
        </w:rPr>
        <w:t>（以下简称“本公司”），系根据中华人民共和国法律设立并存续的公司，其注册地在</w:t>
      </w:r>
      <w:r>
        <w:rPr>
          <w:rFonts w:hint="default" w:ascii="Times New Roman" w:hAnsi="Times New Roman" w:eastAsia="仿宋" w:cs="Times New Roman"/>
          <w:color w:val="auto"/>
          <w:sz w:val="28"/>
          <w:szCs w:val="28"/>
          <w:highlight w:val="none"/>
          <w:u w:val="single"/>
        </w:rPr>
        <w:t xml:space="preserve">           </w:t>
      </w:r>
      <w:r>
        <w:rPr>
          <w:rFonts w:hint="default" w:ascii="Times New Roman" w:hAnsi="Times New Roman" w:eastAsia="仿宋" w:cs="Times New Roman"/>
          <w:color w:val="auto"/>
          <w:sz w:val="28"/>
          <w:szCs w:val="28"/>
          <w:highlight w:val="none"/>
        </w:rPr>
        <w:t>。根据本公司做出的决定，谨郑重授权</w:t>
      </w:r>
      <w:r>
        <w:rPr>
          <w:rFonts w:hint="default" w:ascii="Times New Roman" w:hAnsi="Times New Roman" w:eastAsia="仿宋" w:cs="Times New Roman"/>
          <w:color w:val="auto"/>
          <w:sz w:val="28"/>
          <w:szCs w:val="28"/>
          <w:highlight w:val="none"/>
          <w:u w:val="single"/>
        </w:rPr>
        <w:t xml:space="preserve">         </w:t>
      </w:r>
      <w:r>
        <w:rPr>
          <w:rFonts w:hint="default" w:ascii="Times New Roman" w:hAnsi="Times New Roman" w:eastAsia="仿宋" w:cs="Times New Roman"/>
          <w:color w:val="auto"/>
          <w:sz w:val="28"/>
          <w:szCs w:val="28"/>
          <w:highlight w:val="none"/>
        </w:rPr>
        <w:t>（姓名、职务）为本公司正式合法的授权代理人，该代理人有权代表本公司参加</w:t>
      </w:r>
      <w:r>
        <w:rPr>
          <w:rFonts w:hint="default" w:ascii="Times New Roman" w:hAnsi="Times New Roman" w:eastAsia="仿宋" w:cs="Times New Roman"/>
          <w:b w:val="0"/>
          <w:bCs w:val="0"/>
          <w:color w:val="auto"/>
          <w:kern w:val="2"/>
          <w:sz w:val="28"/>
          <w:szCs w:val="28"/>
          <w:highlight w:val="none"/>
          <w:u w:val="single"/>
          <w:lang w:eastAsia="zh-CN"/>
        </w:rPr>
        <w:t>（</w:t>
      </w:r>
      <w:r>
        <w:rPr>
          <w:rFonts w:hint="default" w:ascii="Times New Roman" w:hAnsi="Times New Roman" w:eastAsia="仿宋" w:cs="Times New Roman"/>
          <w:b w:val="0"/>
          <w:bCs w:val="0"/>
          <w:color w:val="auto"/>
          <w:kern w:val="2"/>
          <w:sz w:val="28"/>
          <w:szCs w:val="28"/>
          <w:highlight w:val="none"/>
          <w:u w:val="single"/>
          <w:lang w:val="en-US" w:eastAsia="zh-CN"/>
        </w:rPr>
        <w:t>项目名称</w:t>
      </w:r>
      <w:r>
        <w:rPr>
          <w:rFonts w:hint="default" w:ascii="Times New Roman" w:hAnsi="Times New Roman" w:eastAsia="仿宋" w:cs="Times New Roman"/>
          <w:b w:val="0"/>
          <w:bCs w:val="0"/>
          <w:color w:val="auto"/>
          <w:kern w:val="2"/>
          <w:sz w:val="28"/>
          <w:szCs w:val="28"/>
          <w:highlight w:val="none"/>
          <w:u w:val="single"/>
          <w:lang w:eastAsia="zh-CN"/>
        </w:rPr>
        <w:t>）</w:t>
      </w:r>
      <w:r>
        <w:rPr>
          <w:rFonts w:hint="default" w:ascii="Times New Roman" w:hAnsi="Times New Roman" w:eastAsia="仿宋" w:cs="Times New Roman"/>
          <w:color w:val="auto"/>
          <w:sz w:val="28"/>
          <w:szCs w:val="28"/>
          <w:highlight w:val="none"/>
        </w:rPr>
        <w:t>的</w:t>
      </w:r>
      <w:r>
        <w:rPr>
          <w:rFonts w:hint="default" w:ascii="Times New Roman" w:hAnsi="Times New Roman" w:eastAsia="仿宋" w:cs="Times New Roman"/>
          <w:color w:val="auto"/>
          <w:sz w:val="28"/>
          <w:szCs w:val="28"/>
          <w:highlight w:val="none"/>
          <w:lang w:val="en-US" w:eastAsia="zh-CN"/>
        </w:rPr>
        <w:t>询价</w:t>
      </w:r>
      <w:r>
        <w:rPr>
          <w:rFonts w:hint="default" w:ascii="Times New Roman" w:hAnsi="Times New Roman" w:eastAsia="仿宋" w:cs="Times New Roman"/>
          <w:color w:val="auto"/>
          <w:sz w:val="28"/>
          <w:szCs w:val="28"/>
          <w:highlight w:val="none"/>
        </w:rPr>
        <w:t>活动，代理人在</w:t>
      </w:r>
      <w:r>
        <w:rPr>
          <w:rFonts w:hint="default" w:ascii="Times New Roman" w:hAnsi="Times New Roman" w:eastAsia="仿宋" w:cs="Times New Roman"/>
          <w:color w:val="auto"/>
          <w:sz w:val="28"/>
          <w:szCs w:val="28"/>
          <w:highlight w:val="none"/>
          <w:lang w:val="en-US" w:eastAsia="zh-CN"/>
        </w:rPr>
        <w:t>询价</w:t>
      </w:r>
      <w:r>
        <w:rPr>
          <w:rFonts w:hint="default" w:ascii="Times New Roman" w:hAnsi="Times New Roman" w:eastAsia="仿宋" w:cs="Times New Roman"/>
          <w:color w:val="auto"/>
          <w:sz w:val="28"/>
          <w:szCs w:val="28"/>
          <w:highlight w:val="none"/>
        </w:rPr>
        <w:t>及合同执行过程中，代表本公司处理一切与之有关的事务，本公司均予以认可。</w:t>
      </w:r>
    </w:p>
    <w:p w14:paraId="76F33CCD">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代理人无权转委托。</w:t>
      </w:r>
    </w:p>
    <w:p w14:paraId="7DA5F94A">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lef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本授权书于</w:t>
      </w:r>
      <w:r>
        <w:rPr>
          <w:rFonts w:hint="default" w:ascii="Times New Roman" w:hAnsi="Times New Roman" w:eastAsia="仿宋" w:cs="Times New Roman"/>
          <w:color w:val="auto"/>
          <w:sz w:val="28"/>
          <w:szCs w:val="28"/>
          <w:highlight w:val="none"/>
          <w:u w:val="single"/>
        </w:rPr>
        <w:t xml:space="preserve">      </w:t>
      </w:r>
      <w:r>
        <w:rPr>
          <w:rFonts w:hint="default" w:ascii="Times New Roman" w:hAnsi="Times New Roman" w:eastAsia="仿宋" w:cs="Times New Roman"/>
          <w:color w:val="auto"/>
          <w:sz w:val="28"/>
          <w:szCs w:val="28"/>
          <w:highlight w:val="none"/>
        </w:rPr>
        <w:t>年</w:t>
      </w:r>
      <w:r>
        <w:rPr>
          <w:rFonts w:hint="default" w:ascii="Times New Roman" w:hAnsi="Times New Roman" w:eastAsia="仿宋" w:cs="Times New Roman"/>
          <w:color w:val="auto"/>
          <w:sz w:val="28"/>
          <w:szCs w:val="28"/>
          <w:highlight w:val="none"/>
          <w:u w:val="single"/>
        </w:rPr>
        <w:t xml:space="preserve">    </w:t>
      </w:r>
      <w:r>
        <w:rPr>
          <w:rFonts w:hint="default" w:ascii="Times New Roman" w:hAnsi="Times New Roman" w:eastAsia="仿宋" w:cs="Times New Roman"/>
          <w:color w:val="auto"/>
          <w:sz w:val="28"/>
          <w:szCs w:val="28"/>
          <w:highlight w:val="none"/>
        </w:rPr>
        <w:t>月</w:t>
      </w:r>
      <w:r>
        <w:rPr>
          <w:rFonts w:hint="default" w:ascii="Times New Roman" w:hAnsi="Times New Roman" w:eastAsia="仿宋" w:cs="Times New Roman"/>
          <w:color w:val="auto"/>
          <w:sz w:val="28"/>
          <w:szCs w:val="28"/>
          <w:highlight w:val="none"/>
          <w:u w:val="single"/>
        </w:rPr>
        <w:t xml:space="preserve">    </w:t>
      </w:r>
      <w:r>
        <w:rPr>
          <w:rFonts w:hint="default" w:ascii="Times New Roman" w:hAnsi="Times New Roman" w:eastAsia="仿宋" w:cs="Times New Roman"/>
          <w:color w:val="auto"/>
          <w:sz w:val="28"/>
          <w:szCs w:val="28"/>
          <w:highlight w:val="none"/>
        </w:rPr>
        <w:t>日签字生效，特此声明。</w:t>
      </w:r>
    </w:p>
    <w:p w14:paraId="1F8920FD">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仿宋" w:cs="Times New Roman"/>
          <w:color w:val="auto"/>
          <w:sz w:val="28"/>
          <w:szCs w:val="28"/>
          <w:highlight w:val="none"/>
        </w:rPr>
      </w:pPr>
    </w:p>
    <w:p w14:paraId="50DAB966">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lang w:val="en-US" w:eastAsia="zh-CN"/>
        </w:rPr>
        <w:t>响应人名称</w:t>
      </w:r>
      <w:r>
        <w:rPr>
          <w:rFonts w:hint="default" w:ascii="Times New Roman" w:hAnsi="Times New Roman" w:eastAsia="仿宋" w:cs="Times New Roman"/>
          <w:color w:val="auto"/>
          <w:sz w:val="28"/>
          <w:szCs w:val="28"/>
          <w:highlight w:val="none"/>
        </w:rPr>
        <w:t xml:space="preserve">（盖章）：  </w:t>
      </w:r>
    </w:p>
    <w:p w14:paraId="19E1F354">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仿宋" w:cs="Times New Roman"/>
          <w:color w:val="auto"/>
          <w:sz w:val="28"/>
          <w:szCs w:val="28"/>
          <w:highlight w:val="none"/>
        </w:rPr>
      </w:pPr>
    </w:p>
    <w:p w14:paraId="251B96EE">
      <w:pPr>
        <w:keepNext w:val="0"/>
        <w:keepLines w:val="0"/>
        <w:pageBreakBefore w:val="0"/>
        <w:widowControl w:val="0"/>
        <w:kinsoku/>
        <w:wordWrap/>
        <w:overflowPunct/>
        <w:topLinePunct w:val="0"/>
        <w:autoSpaceDE/>
        <w:autoSpaceDN/>
        <w:bidi w:val="0"/>
        <w:adjustRightInd/>
        <w:snapToGrid/>
        <w:spacing w:line="570" w:lineRule="exact"/>
        <w:ind w:firstLine="420" w:firstLineChars="15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法定代表人（签字）：</w:t>
      </w:r>
    </w:p>
    <w:p w14:paraId="71F792FA">
      <w:pPr>
        <w:keepNext w:val="0"/>
        <w:keepLines w:val="0"/>
        <w:pageBreakBefore w:val="0"/>
        <w:widowControl w:val="0"/>
        <w:kinsoku/>
        <w:wordWrap/>
        <w:overflowPunct/>
        <w:topLinePunct w:val="0"/>
        <w:autoSpaceDE/>
        <w:autoSpaceDN/>
        <w:bidi w:val="0"/>
        <w:adjustRightInd/>
        <w:snapToGrid/>
        <w:spacing w:line="570" w:lineRule="exact"/>
        <w:ind w:firstLine="700" w:firstLineChars="25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身份证号：</w:t>
      </w:r>
    </w:p>
    <w:p w14:paraId="2910A930">
      <w:pPr>
        <w:keepNext w:val="0"/>
        <w:keepLines w:val="0"/>
        <w:pageBreakBefore w:val="0"/>
        <w:widowControl w:val="0"/>
        <w:kinsoku/>
        <w:wordWrap/>
        <w:overflowPunct/>
        <w:topLinePunct w:val="0"/>
        <w:autoSpaceDE/>
        <w:autoSpaceDN/>
        <w:bidi w:val="0"/>
        <w:adjustRightInd/>
        <w:snapToGrid/>
        <w:spacing w:line="570" w:lineRule="exact"/>
        <w:ind w:firstLine="420" w:firstLineChars="150"/>
        <w:textAlignment w:val="auto"/>
        <w:rPr>
          <w:rFonts w:hint="default" w:ascii="Times New Roman" w:hAnsi="Times New Roman" w:eastAsia="仿宋" w:cs="Times New Roman"/>
          <w:color w:val="auto"/>
          <w:sz w:val="28"/>
          <w:szCs w:val="28"/>
          <w:highlight w:val="none"/>
        </w:rPr>
      </w:pPr>
    </w:p>
    <w:p w14:paraId="48A6B55B">
      <w:pPr>
        <w:keepNext w:val="0"/>
        <w:keepLines w:val="0"/>
        <w:pageBreakBefore w:val="0"/>
        <w:widowControl w:val="0"/>
        <w:kinsoku/>
        <w:wordWrap/>
        <w:overflowPunct/>
        <w:topLinePunct w:val="0"/>
        <w:autoSpaceDE/>
        <w:autoSpaceDN/>
        <w:bidi w:val="0"/>
        <w:adjustRightInd/>
        <w:snapToGrid/>
        <w:spacing w:line="570" w:lineRule="exact"/>
        <w:ind w:firstLine="420" w:firstLineChars="15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代理人（签字）：</w:t>
      </w:r>
    </w:p>
    <w:p w14:paraId="5B1DC0D5">
      <w:pPr>
        <w:keepNext w:val="0"/>
        <w:keepLines w:val="0"/>
        <w:pageBreakBefore w:val="0"/>
        <w:widowControl w:val="0"/>
        <w:kinsoku/>
        <w:wordWrap/>
        <w:overflowPunct/>
        <w:topLinePunct w:val="0"/>
        <w:autoSpaceDE/>
        <w:autoSpaceDN/>
        <w:bidi w:val="0"/>
        <w:adjustRightInd/>
        <w:snapToGrid/>
        <w:spacing w:line="570" w:lineRule="exact"/>
        <w:ind w:firstLine="700" w:firstLineChars="25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身份证号： </w:t>
      </w:r>
    </w:p>
    <w:p w14:paraId="6E3C100C">
      <w:pPr>
        <w:spacing w:line="570" w:lineRule="exact"/>
        <w:ind w:firstLine="700" w:firstLineChars="250"/>
        <w:rPr>
          <w:rFonts w:hint="default" w:eastAsia="仿宋"/>
          <w:color w:val="auto"/>
          <w:sz w:val="28"/>
          <w:szCs w:val="28"/>
          <w:highlight w:val="none"/>
          <w:lang w:val="en-US" w:eastAsia="zh-CN"/>
        </w:rPr>
      </w:pPr>
      <w:r>
        <w:rPr>
          <w:rFonts w:hint="default" w:eastAsia="仿宋" w:cs="Times New Roman"/>
          <w:color w:val="auto"/>
          <w:sz w:val="28"/>
          <w:szCs w:val="28"/>
          <w:highlight w:val="none"/>
          <w:lang w:val="en-US" w:eastAsia="zh-CN"/>
        </w:rPr>
        <w:t>联系电话：</w:t>
      </w:r>
    </w:p>
    <w:p w14:paraId="582D9B2E">
      <w:pPr>
        <w:keepNext w:val="0"/>
        <w:keepLines w:val="0"/>
        <w:pageBreakBefore w:val="0"/>
        <w:widowControl w:val="0"/>
        <w:kinsoku/>
        <w:wordWrap/>
        <w:overflowPunct/>
        <w:topLinePunct w:val="0"/>
        <w:autoSpaceDE/>
        <w:autoSpaceDN/>
        <w:bidi w:val="0"/>
        <w:adjustRightInd/>
        <w:snapToGrid/>
        <w:spacing w:line="570" w:lineRule="exact"/>
        <w:ind w:firstLine="5180" w:firstLineChars="185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      年    月    日</w:t>
      </w:r>
    </w:p>
    <w:p w14:paraId="5595146E">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0" w:firstLineChars="0"/>
        <w:jc w:val="both"/>
        <w:textAlignment w:val="auto"/>
        <w:outlineLvl w:val="1"/>
        <w:rPr>
          <w:rFonts w:hint="default" w:ascii="Times New Roman" w:hAnsi="Times New Roman" w:eastAsia="仿宋" w:cs="Times New Roman"/>
          <w:color w:val="auto"/>
          <w:sz w:val="28"/>
          <w:szCs w:val="28"/>
          <w:highlight w:val="none"/>
        </w:rPr>
      </w:pPr>
    </w:p>
    <w:p w14:paraId="04204170">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outlineLvl w:val="1"/>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lang w:val="en-US" w:eastAsia="zh-CN"/>
        </w:rPr>
        <w:t>法定代</w:t>
      </w:r>
      <w:r>
        <w:rPr>
          <w:rFonts w:hint="default" w:ascii="Times New Roman" w:hAnsi="Times New Roman" w:eastAsia="仿宋" w:cs="Times New Roman"/>
          <w:color w:val="auto"/>
          <w:sz w:val="28"/>
          <w:szCs w:val="28"/>
          <w:highlight w:val="none"/>
        </w:rPr>
        <w:t>表人及代理人身份证复印件（需加盖单位公章）</w:t>
      </w:r>
    </w:p>
    <w:p w14:paraId="68A425FB">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0" w:firstLineChars="200"/>
        <w:jc w:val="both"/>
        <w:textAlignment w:val="auto"/>
        <w:outlineLvl w:val="1"/>
        <w:rPr>
          <w:rFonts w:hint="default"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lang w:val="en-US" w:eastAsia="zh-CN"/>
        </w:rPr>
        <w:t>法定代表人直接参加不须提供，但须提供法定代表人证明原件</w:t>
      </w:r>
    </w:p>
    <w:p w14:paraId="29328420">
      <w:pPr>
        <w:rPr>
          <w:rFonts w:hint="default" w:ascii="Times New Roman" w:hAnsi="Times New Roman" w:cs="Times New Roman"/>
          <w:lang w:val="en-US" w:eastAsia="zh-CN"/>
        </w:rPr>
      </w:pPr>
    </w:p>
    <w:p w14:paraId="24BC8073">
      <w:pPr>
        <w:rPr>
          <w:rFonts w:hint="default" w:ascii="Times New Roman" w:hAnsi="Times New Roman" w:cs="Times New Roman"/>
          <w:lang w:val="en-US" w:eastAsia="zh-CN"/>
        </w:rPr>
      </w:pPr>
    </w:p>
    <w:p w14:paraId="3E246BCC">
      <w:pPr>
        <w:spacing w:line="360" w:lineRule="auto"/>
        <w:ind w:firstLine="0" w:firstLineChars="0"/>
        <w:jc w:val="center"/>
        <w:outlineLvl w:val="1"/>
        <w:rPr>
          <w:rFonts w:hint="default" w:ascii="Times New Roman" w:hAnsi="Times New Roman" w:eastAsia="仿宋" w:cs="Times New Roman"/>
          <w:b/>
          <w:color w:val="auto"/>
          <w:sz w:val="32"/>
          <w:szCs w:val="32"/>
          <w:highlight w:val="none"/>
          <w:lang w:val="en-US" w:eastAsia="zh-CN"/>
        </w:rPr>
      </w:pPr>
      <w:r>
        <w:rPr>
          <w:rFonts w:hint="default" w:ascii="Times New Roman" w:hAnsi="Times New Roman" w:eastAsia="仿宋" w:cs="Times New Roman"/>
          <w:b/>
          <w:color w:val="auto"/>
          <w:sz w:val="32"/>
          <w:szCs w:val="32"/>
          <w:highlight w:val="none"/>
          <w:lang w:val="en-US" w:eastAsia="zh-CN"/>
        </w:rPr>
        <w:t>二、营业执照及相关资料</w:t>
      </w:r>
    </w:p>
    <w:p w14:paraId="46B400FE">
      <w:pPr>
        <w:rPr>
          <w:rFonts w:hint="default" w:ascii="Times New Roman" w:hAnsi="Times New Roman" w:cs="Times New Roman"/>
          <w:lang w:val="en-US" w:eastAsia="zh-CN"/>
        </w:rPr>
      </w:pPr>
    </w:p>
    <w:p w14:paraId="1ECB61BD">
      <w:pPr>
        <w:pStyle w:val="3"/>
        <w:rPr>
          <w:rFonts w:hint="default" w:ascii="Times New Roman" w:hAnsi="Times New Roman" w:cs="Times New Roman"/>
          <w:lang w:val="en-US" w:eastAsia="zh-CN"/>
        </w:rPr>
      </w:pPr>
    </w:p>
    <w:p w14:paraId="459DD927">
      <w:pPr>
        <w:rPr>
          <w:rFonts w:hint="default" w:ascii="Times New Roman" w:hAnsi="Times New Roman" w:cs="Times New Roman"/>
          <w:lang w:val="en-US" w:eastAsia="zh-CN"/>
        </w:rPr>
      </w:pPr>
    </w:p>
    <w:p w14:paraId="282CD614">
      <w:pPr>
        <w:pStyle w:val="3"/>
        <w:rPr>
          <w:rFonts w:hint="default" w:ascii="Times New Roman" w:hAnsi="Times New Roman" w:cs="Times New Roman"/>
          <w:lang w:val="en-US" w:eastAsia="zh-CN"/>
        </w:rPr>
      </w:pPr>
    </w:p>
    <w:p w14:paraId="12B1465D">
      <w:pPr>
        <w:rPr>
          <w:rFonts w:hint="default" w:ascii="Times New Roman" w:hAnsi="Times New Roman" w:cs="Times New Roman"/>
          <w:lang w:val="en-US" w:eastAsia="zh-CN"/>
        </w:rPr>
      </w:pPr>
    </w:p>
    <w:p w14:paraId="075644AD">
      <w:pPr>
        <w:pStyle w:val="3"/>
        <w:rPr>
          <w:rFonts w:hint="default" w:ascii="Times New Roman" w:hAnsi="Times New Roman" w:cs="Times New Roman"/>
          <w:lang w:val="en-US" w:eastAsia="zh-CN"/>
        </w:rPr>
      </w:pPr>
    </w:p>
    <w:p w14:paraId="4F995378">
      <w:pPr>
        <w:rPr>
          <w:rFonts w:hint="default" w:ascii="Times New Roman" w:hAnsi="Times New Roman" w:cs="Times New Roman"/>
          <w:lang w:val="en-US" w:eastAsia="zh-CN"/>
        </w:rPr>
      </w:pPr>
    </w:p>
    <w:p w14:paraId="0AD99E81">
      <w:pPr>
        <w:pStyle w:val="3"/>
        <w:rPr>
          <w:rFonts w:hint="default" w:ascii="Times New Roman" w:hAnsi="Times New Roman" w:cs="Times New Roman"/>
          <w:lang w:val="en-US" w:eastAsia="zh-CN"/>
        </w:rPr>
      </w:pPr>
    </w:p>
    <w:p w14:paraId="38038EE0">
      <w:pPr>
        <w:rPr>
          <w:rFonts w:hint="default" w:ascii="Times New Roman" w:hAnsi="Times New Roman" w:cs="Times New Roman"/>
          <w:lang w:val="en-US" w:eastAsia="zh-CN"/>
        </w:rPr>
      </w:pPr>
    </w:p>
    <w:p w14:paraId="6D06DA77">
      <w:pPr>
        <w:pStyle w:val="3"/>
        <w:rPr>
          <w:rFonts w:hint="default" w:ascii="Times New Roman" w:hAnsi="Times New Roman" w:cs="Times New Roman"/>
          <w:lang w:val="en-US" w:eastAsia="zh-CN"/>
        </w:rPr>
      </w:pPr>
    </w:p>
    <w:p w14:paraId="5C7DCC0E">
      <w:pPr>
        <w:rPr>
          <w:rFonts w:hint="default" w:ascii="Times New Roman" w:hAnsi="Times New Roman" w:cs="Times New Roman"/>
          <w:lang w:val="en-US" w:eastAsia="zh-CN"/>
        </w:rPr>
      </w:pPr>
    </w:p>
    <w:p w14:paraId="0E34BBBC">
      <w:pPr>
        <w:pStyle w:val="3"/>
        <w:rPr>
          <w:rFonts w:hint="default" w:ascii="Times New Roman" w:hAnsi="Times New Roman" w:cs="Times New Roman"/>
          <w:lang w:val="en-US" w:eastAsia="zh-CN"/>
        </w:rPr>
      </w:pPr>
    </w:p>
    <w:p w14:paraId="2C3ED2E6">
      <w:pPr>
        <w:rPr>
          <w:rFonts w:hint="default" w:ascii="Times New Roman" w:hAnsi="Times New Roman" w:cs="Times New Roman"/>
          <w:lang w:val="en-US" w:eastAsia="zh-CN"/>
        </w:rPr>
      </w:pPr>
    </w:p>
    <w:p w14:paraId="4E004E27">
      <w:pPr>
        <w:pStyle w:val="3"/>
        <w:rPr>
          <w:rFonts w:hint="default" w:ascii="Times New Roman" w:hAnsi="Times New Roman" w:cs="Times New Roman"/>
          <w:lang w:val="en-US" w:eastAsia="zh-CN"/>
        </w:rPr>
      </w:pPr>
    </w:p>
    <w:p w14:paraId="3189D4A5">
      <w:pPr>
        <w:rPr>
          <w:rFonts w:hint="default" w:ascii="Times New Roman" w:hAnsi="Times New Roman" w:cs="Times New Roman"/>
          <w:lang w:val="en-US" w:eastAsia="zh-CN"/>
        </w:rPr>
      </w:pPr>
    </w:p>
    <w:p w14:paraId="2E710045">
      <w:pPr>
        <w:pStyle w:val="3"/>
        <w:rPr>
          <w:rFonts w:hint="default" w:ascii="Times New Roman" w:hAnsi="Times New Roman" w:cs="Times New Roman"/>
          <w:lang w:val="en-US" w:eastAsia="zh-CN"/>
        </w:rPr>
      </w:pPr>
    </w:p>
    <w:p w14:paraId="5D4A5308">
      <w:pPr>
        <w:rPr>
          <w:rFonts w:hint="default" w:ascii="Times New Roman" w:hAnsi="Times New Roman" w:cs="Times New Roman"/>
          <w:lang w:val="en-US" w:eastAsia="zh-CN"/>
        </w:rPr>
      </w:pPr>
    </w:p>
    <w:p w14:paraId="11BFDA28">
      <w:pPr>
        <w:pStyle w:val="3"/>
        <w:rPr>
          <w:rFonts w:hint="default" w:ascii="Times New Roman" w:hAnsi="Times New Roman" w:cs="Times New Roman"/>
          <w:lang w:val="en-US" w:eastAsia="zh-CN"/>
        </w:rPr>
      </w:pPr>
    </w:p>
    <w:p w14:paraId="0BFEE554">
      <w:pPr>
        <w:rPr>
          <w:rFonts w:hint="default" w:ascii="Times New Roman" w:hAnsi="Times New Roman" w:cs="Times New Roman"/>
          <w:lang w:val="en-US" w:eastAsia="zh-CN"/>
        </w:rPr>
      </w:pPr>
    </w:p>
    <w:p w14:paraId="4CF541BB">
      <w:pPr>
        <w:pStyle w:val="3"/>
        <w:rPr>
          <w:rFonts w:hint="default" w:ascii="Times New Roman" w:hAnsi="Times New Roman" w:cs="Times New Roman"/>
          <w:lang w:val="en-US" w:eastAsia="zh-CN"/>
        </w:rPr>
      </w:pPr>
    </w:p>
    <w:p w14:paraId="600B3E73">
      <w:pPr>
        <w:rPr>
          <w:rFonts w:hint="default" w:ascii="Times New Roman" w:hAnsi="Times New Roman" w:cs="Times New Roman"/>
          <w:lang w:val="en-US" w:eastAsia="zh-CN"/>
        </w:rPr>
      </w:pPr>
    </w:p>
    <w:p w14:paraId="678CC94C">
      <w:pPr>
        <w:pStyle w:val="3"/>
        <w:rPr>
          <w:rFonts w:hint="default" w:ascii="Times New Roman" w:hAnsi="Times New Roman" w:cs="Times New Roman"/>
          <w:lang w:val="en-US" w:eastAsia="zh-CN"/>
        </w:rPr>
      </w:pPr>
    </w:p>
    <w:p w14:paraId="64F2FB64">
      <w:pPr>
        <w:rPr>
          <w:rFonts w:hint="default" w:ascii="Times New Roman" w:hAnsi="Times New Roman" w:cs="Times New Roman"/>
          <w:lang w:val="en-US" w:eastAsia="zh-CN"/>
        </w:rPr>
      </w:pPr>
    </w:p>
    <w:p w14:paraId="7C7F6948">
      <w:pPr>
        <w:pStyle w:val="3"/>
        <w:rPr>
          <w:rFonts w:hint="default" w:ascii="Times New Roman" w:hAnsi="Times New Roman" w:cs="Times New Roman"/>
          <w:lang w:val="en-US" w:eastAsia="zh-CN"/>
        </w:rPr>
      </w:pPr>
    </w:p>
    <w:p w14:paraId="6CA88E28">
      <w:pPr>
        <w:rPr>
          <w:rFonts w:hint="default" w:ascii="Times New Roman" w:hAnsi="Times New Roman" w:cs="Times New Roman"/>
          <w:lang w:val="en-US" w:eastAsia="zh-CN"/>
        </w:rPr>
      </w:pPr>
    </w:p>
    <w:p w14:paraId="48C88BB1">
      <w:pPr>
        <w:pStyle w:val="3"/>
        <w:rPr>
          <w:rFonts w:hint="default" w:ascii="Times New Roman" w:hAnsi="Times New Roman" w:cs="Times New Roman"/>
          <w:lang w:val="en-US" w:eastAsia="zh-CN"/>
        </w:rPr>
      </w:pPr>
    </w:p>
    <w:p w14:paraId="190E7ECB">
      <w:pPr>
        <w:rPr>
          <w:rFonts w:hint="default" w:ascii="Times New Roman" w:hAnsi="Times New Roman" w:cs="Times New Roman"/>
          <w:lang w:val="en-US" w:eastAsia="zh-CN"/>
        </w:rPr>
      </w:pPr>
    </w:p>
    <w:p w14:paraId="71403145">
      <w:pPr>
        <w:pStyle w:val="3"/>
        <w:rPr>
          <w:rFonts w:hint="default" w:ascii="Times New Roman" w:hAnsi="Times New Roman" w:cs="Times New Roman"/>
          <w:lang w:val="en-US" w:eastAsia="zh-CN"/>
        </w:rPr>
      </w:pPr>
    </w:p>
    <w:p w14:paraId="153CD513">
      <w:pPr>
        <w:rPr>
          <w:rFonts w:hint="default" w:ascii="Times New Roman" w:hAnsi="Times New Roman" w:cs="Times New Roman"/>
          <w:lang w:val="en-US" w:eastAsia="zh-CN"/>
        </w:rPr>
      </w:pPr>
    </w:p>
    <w:p w14:paraId="0C4CDAE8">
      <w:pPr>
        <w:rPr>
          <w:rFonts w:hint="default" w:ascii="Times New Roman" w:hAnsi="Times New Roman" w:cs="Times New Roman"/>
          <w:lang w:val="en-US" w:eastAsia="zh-CN"/>
        </w:rPr>
      </w:pPr>
    </w:p>
    <w:p w14:paraId="60ED61A8">
      <w:pPr>
        <w:pStyle w:val="3"/>
        <w:rPr>
          <w:rFonts w:hint="default" w:ascii="Times New Roman" w:hAnsi="Times New Roman" w:cs="Times New Roman"/>
          <w:lang w:val="en-US" w:eastAsia="zh-CN"/>
        </w:rPr>
      </w:pPr>
    </w:p>
    <w:p w14:paraId="293AF3BB">
      <w:pPr>
        <w:rPr>
          <w:rFonts w:hint="default" w:ascii="Times New Roman" w:hAnsi="Times New Roman" w:cs="Times New Roman"/>
          <w:lang w:val="en-US" w:eastAsia="zh-CN"/>
        </w:rPr>
      </w:pPr>
    </w:p>
    <w:p w14:paraId="114EAF30">
      <w:pPr>
        <w:pStyle w:val="3"/>
        <w:rPr>
          <w:rFonts w:hint="default" w:ascii="Times New Roman" w:hAnsi="Times New Roman" w:cs="Times New Roman"/>
          <w:lang w:val="en-US" w:eastAsia="zh-CN"/>
        </w:rPr>
      </w:pPr>
    </w:p>
    <w:p w14:paraId="445AB21E">
      <w:pPr>
        <w:rPr>
          <w:rFonts w:hint="default" w:ascii="Times New Roman" w:hAnsi="Times New Roman" w:cs="Times New Roman"/>
          <w:lang w:val="en-US" w:eastAsia="zh-CN"/>
        </w:rPr>
      </w:pPr>
    </w:p>
    <w:p w14:paraId="4426053D">
      <w:pPr>
        <w:rPr>
          <w:rFonts w:hint="default" w:ascii="Times New Roman" w:hAnsi="Times New Roman" w:cs="Times New Roman"/>
          <w:lang w:val="en-US" w:eastAsia="zh-CN"/>
        </w:rPr>
      </w:pPr>
    </w:p>
    <w:p w14:paraId="78BAE482">
      <w:pPr>
        <w:spacing w:line="360" w:lineRule="auto"/>
        <w:ind w:firstLine="0" w:firstLineChars="0"/>
        <w:jc w:val="center"/>
        <w:outlineLvl w:val="1"/>
        <w:rPr>
          <w:rFonts w:hint="default" w:ascii="Times New Roman" w:hAnsi="Times New Roman" w:eastAsia="仿宋" w:cs="Times New Roman"/>
          <w:b/>
          <w:color w:val="auto"/>
          <w:sz w:val="32"/>
          <w:szCs w:val="32"/>
          <w:highlight w:val="none"/>
          <w:lang w:val="en-US" w:eastAsia="zh-CN"/>
        </w:rPr>
      </w:pPr>
      <w:r>
        <w:rPr>
          <w:rFonts w:hint="default" w:ascii="Times New Roman" w:hAnsi="Times New Roman" w:eastAsia="仿宋" w:cs="Times New Roman"/>
          <w:b/>
          <w:color w:val="auto"/>
          <w:sz w:val="32"/>
          <w:szCs w:val="32"/>
          <w:highlight w:val="none"/>
          <w:lang w:val="en-US" w:eastAsia="zh-CN"/>
        </w:rPr>
        <w:t>三、报价函</w:t>
      </w:r>
    </w:p>
    <w:p w14:paraId="2DB156FC">
      <w:pPr>
        <w:rPr>
          <w:rFonts w:hint="default" w:ascii="Times New Roman" w:hAnsi="Times New Roman" w:cs="Times New Roman"/>
          <w:lang w:val="en-US" w:eastAsia="zh-CN"/>
        </w:rPr>
      </w:pPr>
    </w:p>
    <w:p w14:paraId="2219FCF1">
      <w:pPr>
        <w:pStyle w:val="3"/>
        <w:rPr>
          <w:rFonts w:hint="default" w:ascii="Times New Roman" w:hAnsi="Times New Roman" w:eastAsia="仿宋" w:cs="Times New Roman"/>
          <w:lang w:val="en-US" w:eastAsia="zh-CN"/>
        </w:rPr>
      </w:pPr>
    </w:p>
    <w:p w14:paraId="1F4ED00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四川中彩源</w:t>
      </w:r>
      <w:r>
        <w:rPr>
          <w:rFonts w:hint="eastAsia" w:eastAsia="仿宋" w:cs="Times New Roman"/>
          <w:color w:val="auto"/>
          <w:sz w:val="32"/>
          <w:szCs w:val="32"/>
          <w:highlight w:val="none"/>
          <w:lang w:val="en-US" w:eastAsia="zh-CN"/>
        </w:rPr>
        <w:t>建设</w:t>
      </w:r>
      <w:r>
        <w:rPr>
          <w:rFonts w:hint="default" w:ascii="Times New Roman" w:hAnsi="Times New Roman" w:eastAsia="仿宋" w:cs="Times New Roman"/>
          <w:color w:val="auto"/>
          <w:sz w:val="32"/>
          <w:szCs w:val="32"/>
          <w:highlight w:val="none"/>
          <w:lang w:val="en-US" w:eastAsia="zh-CN"/>
        </w:rPr>
        <w:t>工程有限公司</w:t>
      </w:r>
      <w:r>
        <w:rPr>
          <w:rFonts w:hint="default" w:ascii="Times New Roman" w:hAnsi="Times New Roman" w:eastAsia="仿宋" w:cs="Times New Roman"/>
          <w:color w:val="auto"/>
          <w:sz w:val="32"/>
          <w:szCs w:val="32"/>
          <w:highlight w:val="none"/>
        </w:rPr>
        <w:t>：</w:t>
      </w:r>
    </w:p>
    <w:p w14:paraId="0679D8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b w:val="0"/>
          <w:color w:val="auto"/>
          <w:sz w:val="32"/>
          <w:szCs w:val="32"/>
          <w:highlight w:val="none"/>
        </w:rPr>
      </w:pPr>
      <w:r>
        <w:rPr>
          <w:rFonts w:hint="default" w:ascii="Times New Roman" w:hAnsi="Times New Roman" w:eastAsia="仿宋" w:cs="Times New Roman"/>
          <w:color w:val="auto"/>
          <w:sz w:val="32"/>
          <w:szCs w:val="32"/>
          <w:highlight w:val="none"/>
        </w:rPr>
        <w:t>关于</w:t>
      </w:r>
      <w:r>
        <w:rPr>
          <w:rFonts w:hint="default" w:ascii="Times New Roman" w:hAnsi="Times New Roman" w:eastAsia="仿宋" w:cs="Times New Roman"/>
          <w:color w:val="auto"/>
          <w:sz w:val="32"/>
          <w:szCs w:val="32"/>
          <w:highlight w:val="none"/>
          <w:lang w:val="en-US" w:eastAsia="zh-CN"/>
        </w:rPr>
        <w:t>贵公司</w:t>
      </w:r>
      <w:r>
        <w:rPr>
          <w:rFonts w:hint="default" w:ascii="Times New Roman" w:hAnsi="Times New Roman" w:eastAsia="仿宋" w:cs="Times New Roman"/>
          <w:color w:val="auto"/>
          <w:sz w:val="32"/>
          <w:szCs w:val="32"/>
          <w:highlight w:val="none"/>
          <w:u w:val="single"/>
          <w:lang w:val="en-US" w:eastAsia="zh-CN"/>
        </w:rPr>
        <w:t xml:space="preserve">  </w:t>
      </w:r>
      <w:r>
        <w:rPr>
          <w:rFonts w:hint="eastAsia" w:ascii="Times New Roman" w:hAnsi="Times New Roman" w:eastAsia="仿宋" w:cs="Times New Roman"/>
          <w:color w:val="auto"/>
          <w:sz w:val="32"/>
          <w:szCs w:val="32"/>
          <w:highlight w:val="none"/>
          <w:u w:val="single"/>
          <w:lang w:val="en-US" w:eastAsia="zh-CN"/>
        </w:rPr>
        <w:t>成品岗亭、组合花箱等材料</w:t>
      </w:r>
      <w:r>
        <w:rPr>
          <w:rFonts w:hint="eastAsia" w:eastAsia="仿宋_GB2312" w:cs="Times New Roman"/>
          <w:color w:val="auto"/>
          <w:sz w:val="32"/>
          <w:szCs w:val="32"/>
          <w:highlight w:val="none"/>
          <w:u w:val="single"/>
          <w:lang w:val="en-US" w:eastAsia="zh-CN"/>
        </w:rPr>
        <w:t xml:space="preserve"> </w:t>
      </w:r>
      <w:r>
        <w:rPr>
          <w:rFonts w:hint="default" w:ascii="Times New Roman" w:hAnsi="Times New Roman" w:eastAsia="仿宋" w:cs="Times New Roman"/>
          <w:color w:val="auto"/>
          <w:sz w:val="32"/>
          <w:szCs w:val="32"/>
          <w:highlight w:val="none"/>
          <w:u w:val="single"/>
          <w:lang w:val="en-US" w:eastAsia="zh-CN"/>
        </w:rPr>
        <w:t xml:space="preserve"> </w:t>
      </w:r>
      <w:r>
        <w:rPr>
          <w:rFonts w:hint="default" w:ascii="Times New Roman" w:hAnsi="Times New Roman" w:eastAsia="仿宋" w:cs="Times New Roman"/>
          <w:color w:val="auto"/>
          <w:sz w:val="32"/>
          <w:szCs w:val="32"/>
          <w:highlight w:val="none"/>
          <w:u w:val="none"/>
          <w:lang w:val="en-US" w:eastAsia="zh-CN"/>
        </w:rPr>
        <w:t>询价公告</w:t>
      </w:r>
      <w:r>
        <w:rPr>
          <w:rFonts w:hint="default" w:ascii="Times New Roman" w:hAnsi="Times New Roman" w:eastAsia="仿宋" w:cs="Times New Roman"/>
          <w:color w:val="auto"/>
          <w:sz w:val="32"/>
          <w:szCs w:val="32"/>
          <w:highlight w:val="none"/>
        </w:rPr>
        <w:t>，结合</w:t>
      </w:r>
      <w:r>
        <w:rPr>
          <w:rFonts w:hint="default" w:ascii="Times New Roman" w:hAnsi="Times New Roman" w:eastAsia="仿宋" w:cs="Times New Roman"/>
          <w:color w:val="auto"/>
          <w:sz w:val="32"/>
          <w:szCs w:val="32"/>
          <w:highlight w:val="none"/>
          <w:lang w:val="en-US" w:eastAsia="zh-CN"/>
        </w:rPr>
        <w:t>相关情况</w:t>
      </w:r>
      <w:r>
        <w:rPr>
          <w:rFonts w:hint="default" w:ascii="Times New Roman" w:hAnsi="Times New Roman" w:eastAsia="仿宋" w:cs="Times New Roman"/>
          <w:color w:val="auto"/>
          <w:sz w:val="32"/>
          <w:szCs w:val="32"/>
          <w:highlight w:val="none"/>
        </w:rPr>
        <w:t>，经仔细研究决定，我方（单位</w:t>
      </w:r>
      <w:r>
        <w:rPr>
          <w:rFonts w:hint="default" w:ascii="Times New Roman" w:hAnsi="Times New Roman" w:eastAsia="仿宋" w:cs="Times New Roman"/>
          <w:color w:val="auto"/>
          <w:sz w:val="32"/>
          <w:szCs w:val="32"/>
          <w:highlight w:val="none"/>
          <w:lang w:eastAsia="zh-CN"/>
        </w:rPr>
        <w:t>名称</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u w:val="single"/>
        </w:rPr>
        <w:t xml:space="preserve"> </w:t>
      </w:r>
      <w:r>
        <w:rPr>
          <w:rFonts w:hint="default" w:ascii="Times New Roman" w:hAnsi="Times New Roman" w:eastAsia="仿宋" w:cs="Times New Roman"/>
          <w:color w:val="auto"/>
          <w:sz w:val="32"/>
          <w:szCs w:val="32"/>
          <w:highlight w:val="none"/>
          <w:u w:val="single"/>
          <w:lang w:val="en-US" w:eastAsia="zh-CN"/>
        </w:rPr>
        <w:t xml:space="preserve"> </w:t>
      </w:r>
      <w:r>
        <w:rPr>
          <w:rFonts w:hint="default" w:ascii="Times New Roman" w:hAnsi="Times New Roman" w:eastAsia="仿宋" w:cs="Times New Roman"/>
          <w:color w:val="auto"/>
          <w:sz w:val="32"/>
          <w:szCs w:val="32"/>
          <w:highlight w:val="none"/>
          <w:u w:val="single"/>
        </w:rPr>
        <w:t xml:space="preserve">         </w:t>
      </w:r>
      <w:r>
        <w:rPr>
          <w:rFonts w:hint="default" w:ascii="Times New Roman" w:hAnsi="Times New Roman" w:eastAsia="仿宋" w:cs="Times New Roman"/>
          <w:color w:val="auto"/>
          <w:sz w:val="32"/>
          <w:szCs w:val="32"/>
          <w:highlight w:val="none"/>
          <w:u w:val="single"/>
          <w:lang w:val="en-US" w:eastAsia="zh-CN"/>
        </w:rPr>
        <w:t xml:space="preserve">          </w:t>
      </w:r>
      <w:r>
        <w:rPr>
          <w:rFonts w:hint="default" w:ascii="Times New Roman" w:hAnsi="Times New Roman" w:eastAsia="仿宋" w:cs="Times New Roman"/>
          <w:color w:val="auto"/>
          <w:sz w:val="32"/>
          <w:szCs w:val="32"/>
          <w:highlight w:val="none"/>
          <w:u w:val="single"/>
        </w:rPr>
        <w:t xml:space="preserve"> </w:t>
      </w:r>
      <w:r>
        <w:rPr>
          <w:rFonts w:hint="default" w:ascii="Times New Roman" w:hAnsi="Times New Roman" w:eastAsia="仿宋" w:cs="Times New Roman"/>
          <w:color w:val="auto"/>
          <w:sz w:val="32"/>
          <w:szCs w:val="32"/>
          <w:highlight w:val="none"/>
          <w:u w:val="none"/>
          <w:lang w:val="en-US" w:eastAsia="zh-CN"/>
        </w:rPr>
        <w:t>关于贵司该项目</w:t>
      </w:r>
      <w:r>
        <w:rPr>
          <w:rFonts w:hint="eastAsia" w:ascii="Times New Roman" w:hAnsi="Times New Roman" w:eastAsia="仿宋" w:cs="Times New Roman"/>
          <w:color w:val="auto"/>
          <w:sz w:val="32"/>
          <w:szCs w:val="32"/>
          <w:highlight w:val="none"/>
          <w:u w:val="none"/>
          <w:lang w:val="en-US" w:eastAsia="zh-CN"/>
        </w:rPr>
        <w:t>材料</w:t>
      </w:r>
      <w:r>
        <w:rPr>
          <w:rFonts w:hint="default" w:ascii="Times New Roman" w:hAnsi="Times New Roman" w:eastAsia="仿宋" w:cs="Times New Roman"/>
          <w:color w:val="auto"/>
          <w:sz w:val="32"/>
          <w:szCs w:val="32"/>
          <w:highlight w:val="none"/>
          <w:u w:val="none"/>
          <w:lang w:val="en-US" w:eastAsia="zh-CN"/>
        </w:rPr>
        <w:t>报价</w:t>
      </w:r>
      <w:r>
        <w:rPr>
          <w:rFonts w:hint="default" w:ascii="Times New Roman" w:hAnsi="Times New Roman" w:eastAsia="仿宋" w:cs="Times New Roman"/>
          <w:color w:val="auto"/>
          <w:sz w:val="32"/>
          <w:szCs w:val="32"/>
          <w:highlight w:val="none"/>
        </w:rPr>
        <w:t>为</w:t>
      </w:r>
      <w:r>
        <w:rPr>
          <w:rFonts w:hint="default" w:ascii="Times New Roman" w:hAnsi="Times New Roman" w:eastAsia="仿宋" w:cs="Times New Roman"/>
          <w:b w:val="0"/>
          <w:color w:val="auto"/>
          <w:sz w:val="32"/>
          <w:szCs w:val="32"/>
          <w:highlight w:val="none"/>
          <w:u w:val="single"/>
        </w:rPr>
        <w:t xml:space="preserve">      </w:t>
      </w:r>
      <w:r>
        <w:rPr>
          <w:rFonts w:hint="default" w:ascii="Times New Roman" w:hAnsi="Times New Roman" w:eastAsia="仿宋" w:cs="Times New Roman"/>
          <w:b w:val="0"/>
          <w:color w:val="auto"/>
          <w:sz w:val="32"/>
          <w:szCs w:val="32"/>
          <w:highlight w:val="none"/>
        </w:rPr>
        <w:t>元</w:t>
      </w:r>
      <w:r>
        <w:rPr>
          <w:rFonts w:hint="default" w:ascii="Times New Roman" w:hAnsi="Times New Roman" w:eastAsia="仿宋" w:cs="Times New Roman"/>
          <w:b w:val="0"/>
          <w:color w:val="auto"/>
          <w:sz w:val="32"/>
          <w:szCs w:val="32"/>
          <w:highlight w:val="none"/>
          <w:lang w:eastAsia="zh-CN"/>
        </w:rPr>
        <w:t>（</w:t>
      </w:r>
      <w:r>
        <w:rPr>
          <w:rFonts w:hint="default" w:ascii="Times New Roman" w:hAnsi="Times New Roman" w:eastAsia="仿宋" w:cs="Times New Roman"/>
          <w:b w:val="0"/>
          <w:color w:val="auto"/>
          <w:sz w:val="32"/>
          <w:szCs w:val="32"/>
          <w:highlight w:val="none"/>
          <w:lang w:val="en-US" w:eastAsia="zh-CN"/>
        </w:rPr>
        <w:t>含税价</w:t>
      </w:r>
      <w:r>
        <w:rPr>
          <w:rFonts w:hint="default" w:ascii="Times New Roman" w:hAnsi="Times New Roman" w:eastAsia="仿宋" w:cs="Times New Roman"/>
          <w:b w:val="0"/>
          <w:color w:val="auto"/>
          <w:sz w:val="32"/>
          <w:szCs w:val="32"/>
          <w:highlight w:val="none"/>
          <w:lang w:eastAsia="zh-CN"/>
        </w:rPr>
        <w:t>），</w:t>
      </w:r>
      <w:r>
        <w:rPr>
          <w:rFonts w:hint="default" w:ascii="Times New Roman" w:hAnsi="Times New Roman" w:eastAsia="仿宋" w:cs="Times New Roman"/>
          <w:b w:val="0"/>
          <w:color w:val="auto"/>
          <w:sz w:val="32"/>
          <w:szCs w:val="32"/>
          <w:highlight w:val="none"/>
        </w:rPr>
        <w:t>（</w:t>
      </w:r>
      <w:r>
        <w:rPr>
          <w:rFonts w:hint="default" w:ascii="Times New Roman" w:hAnsi="Times New Roman" w:eastAsia="仿宋" w:cs="Times New Roman"/>
          <w:b w:val="0"/>
          <w:color w:val="auto"/>
          <w:sz w:val="32"/>
          <w:szCs w:val="32"/>
          <w:highlight w:val="none"/>
          <w:u w:val="none"/>
        </w:rPr>
        <w:t>大写：</w:t>
      </w:r>
      <w:r>
        <w:rPr>
          <w:rFonts w:hint="default" w:ascii="Times New Roman" w:hAnsi="Times New Roman" w:eastAsia="仿宋" w:cs="Times New Roman"/>
          <w:b w:val="0"/>
          <w:color w:val="auto"/>
          <w:sz w:val="32"/>
          <w:szCs w:val="32"/>
          <w:highlight w:val="none"/>
          <w:u w:val="single"/>
        </w:rPr>
        <w:t xml:space="preserve">              </w:t>
      </w:r>
      <w:r>
        <w:rPr>
          <w:rFonts w:hint="default" w:ascii="Times New Roman" w:hAnsi="Times New Roman" w:eastAsia="仿宋" w:cs="Times New Roman"/>
          <w:b w:val="0"/>
          <w:color w:val="auto"/>
          <w:sz w:val="32"/>
          <w:szCs w:val="32"/>
          <w:highlight w:val="none"/>
        </w:rPr>
        <w:t>）</w:t>
      </w:r>
      <w:r>
        <w:rPr>
          <w:rFonts w:hint="default" w:ascii="Times New Roman" w:hAnsi="Times New Roman" w:eastAsia="仿宋" w:cs="Times New Roman"/>
          <w:b w:val="0"/>
          <w:color w:val="auto"/>
          <w:sz w:val="32"/>
          <w:szCs w:val="32"/>
          <w:highlight w:val="none"/>
          <w:lang w:val="en-US" w:eastAsia="zh-CN"/>
        </w:rPr>
        <w:t>税率</w:t>
      </w:r>
      <w:r>
        <w:rPr>
          <w:rFonts w:hint="default" w:ascii="Times New Roman" w:hAnsi="Times New Roman" w:eastAsia="仿宋" w:cs="Times New Roman"/>
          <w:b w:val="0"/>
          <w:color w:val="auto"/>
          <w:sz w:val="32"/>
          <w:szCs w:val="32"/>
          <w:highlight w:val="none"/>
          <w:u w:val="single"/>
        </w:rPr>
        <w:t xml:space="preserve">  </w:t>
      </w:r>
      <w:r>
        <w:rPr>
          <w:rFonts w:hint="eastAsia" w:eastAsia="仿宋" w:cs="Times New Roman"/>
          <w:b w:val="0"/>
          <w:color w:val="auto"/>
          <w:sz w:val="32"/>
          <w:szCs w:val="32"/>
          <w:highlight w:val="none"/>
          <w:u w:val="single"/>
          <w:lang w:val="en-US" w:eastAsia="zh-CN"/>
        </w:rPr>
        <w:t xml:space="preserve">13% </w:t>
      </w:r>
      <w:r>
        <w:rPr>
          <w:rFonts w:hint="default" w:ascii="Times New Roman" w:hAnsi="Times New Roman" w:eastAsia="仿宋" w:cs="Times New Roman"/>
          <w:b w:val="0"/>
          <w:color w:val="auto"/>
          <w:sz w:val="32"/>
          <w:szCs w:val="32"/>
          <w:highlight w:val="none"/>
          <w:u w:val="single"/>
          <w:lang w:val="en-US" w:eastAsia="zh-CN"/>
        </w:rPr>
        <w:t xml:space="preserve"> </w:t>
      </w:r>
      <w:r>
        <w:rPr>
          <w:rFonts w:hint="default" w:ascii="Times New Roman" w:hAnsi="Times New Roman" w:eastAsia="仿宋" w:cs="Times New Roman"/>
          <w:b w:val="0"/>
          <w:color w:val="auto"/>
          <w:sz w:val="32"/>
          <w:szCs w:val="32"/>
          <w:highlight w:val="none"/>
        </w:rPr>
        <w:t>。</w:t>
      </w:r>
    </w:p>
    <w:p w14:paraId="36304BD2">
      <w:pPr>
        <w:spacing w:line="480" w:lineRule="auto"/>
        <w:rPr>
          <w:rFonts w:hint="default" w:ascii="Times New Roman" w:hAnsi="Times New Roman" w:eastAsia="仿宋" w:cs="Times New Roman"/>
          <w:color w:val="auto"/>
          <w:sz w:val="32"/>
          <w:szCs w:val="32"/>
          <w:highlight w:val="none"/>
        </w:rPr>
      </w:pPr>
    </w:p>
    <w:p w14:paraId="364FBCCD">
      <w:pPr>
        <w:pStyle w:val="3"/>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21"/>
          <w:szCs w:val="21"/>
          <w:highlight w:val="none"/>
          <w:lang w:val="en-US" w:eastAsia="zh-CN"/>
        </w:rPr>
        <w:t>注：</w:t>
      </w:r>
      <w:r>
        <w:rPr>
          <w:rFonts w:hint="default" w:ascii="Times New Roman" w:hAnsi="Times New Roman" w:eastAsia="仿宋_GB2312" w:cs="Times New Roman"/>
          <w:color w:val="auto"/>
          <w:sz w:val="21"/>
          <w:szCs w:val="21"/>
          <w:highlight w:val="none"/>
          <w:lang w:val="en-US" w:eastAsia="zh-CN"/>
        </w:rPr>
        <w:t>所有报价均用人民币表示，该单价为固定综合单价，包括但不限于运输费、上下车费、安装费</w:t>
      </w:r>
      <w:r>
        <w:rPr>
          <w:rFonts w:hint="eastAsia" w:eastAsia="仿宋_GB2312" w:cs="Times New Roman"/>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管理费、利润、税金等为完成本项目材料供应的所有费用。</w:t>
      </w:r>
    </w:p>
    <w:p w14:paraId="0860BB4E">
      <w:pPr>
        <w:rPr>
          <w:rFonts w:hint="default" w:ascii="Times New Roman" w:hAnsi="Times New Roman" w:eastAsia="仿宋_GB2312" w:cs="Times New Roman"/>
          <w:color w:val="auto"/>
          <w:sz w:val="32"/>
          <w:szCs w:val="32"/>
          <w:highlight w:val="none"/>
        </w:rPr>
      </w:pPr>
    </w:p>
    <w:p w14:paraId="6B7FECD4">
      <w:pPr>
        <w:pStyle w:val="3"/>
        <w:rPr>
          <w:rFonts w:hint="default" w:ascii="Times New Roman" w:hAnsi="Times New Roman" w:eastAsia="仿宋_GB2312" w:cs="Times New Roman"/>
          <w:color w:val="auto"/>
          <w:sz w:val="32"/>
          <w:szCs w:val="32"/>
          <w:highlight w:val="none"/>
        </w:rPr>
      </w:pPr>
    </w:p>
    <w:p w14:paraId="52A25B82">
      <w:pPr>
        <w:rPr>
          <w:rFonts w:hint="default" w:ascii="Times New Roman" w:hAnsi="Times New Roman" w:eastAsia="仿宋_GB2312" w:cs="Times New Roman"/>
          <w:color w:val="auto"/>
          <w:sz w:val="32"/>
          <w:szCs w:val="32"/>
          <w:highlight w:val="none"/>
        </w:rPr>
      </w:pPr>
    </w:p>
    <w:p w14:paraId="4E166446">
      <w:pPr>
        <w:pStyle w:val="3"/>
        <w:rPr>
          <w:rFonts w:hint="default" w:ascii="Times New Roman" w:hAnsi="Times New Roman" w:cs="Times New Roman"/>
        </w:rPr>
      </w:pPr>
    </w:p>
    <w:p w14:paraId="516939AA">
      <w:pPr>
        <w:rPr>
          <w:rFonts w:hint="default" w:ascii="Times New Roman" w:hAnsi="Times New Roman" w:cs="Times New Roman"/>
          <w:highlight w:val="none"/>
        </w:rPr>
      </w:pPr>
    </w:p>
    <w:p w14:paraId="0F07C88F">
      <w:pPr>
        <w:adjustRightInd w:val="0"/>
        <w:spacing w:line="480" w:lineRule="auto"/>
        <w:ind w:firstLine="1920" w:firstLineChars="600"/>
        <w:jc w:val="left"/>
        <w:rPr>
          <w:rFonts w:hint="default" w:ascii="Times New Roman" w:hAnsi="Times New Roman" w:eastAsia="仿宋_GB2312" w:cs="Times New Roman"/>
          <w:color w:val="auto"/>
          <w:sz w:val="32"/>
          <w:szCs w:val="32"/>
          <w:highlight w:val="none"/>
        </w:rPr>
      </w:pPr>
    </w:p>
    <w:p w14:paraId="55634C97">
      <w:pPr>
        <w:adjustRightInd w:val="0"/>
        <w:spacing w:line="480" w:lineRule="auto"/>
        <w:ind w:firstLine="2240" w:firstLineChars="7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单位名称：</w:t>
      </w:r>
      <w:r>
        <w:rPr>
          <w:rFonts w:hint="default" w:ascii="Times New Roman" w:hAnsi="Times New Roman" w:eastAsia="仿宋" w:cs="Times New Roman"/>
          <w:color w:val="auto"/>
          <w:sz w:val="32"/>
          <w:szCs w:val="32"/>
          <w:highlight w:val="none"/>
          <w:u w:val="single"/>
        </w:rPr>
        <w:t xml:space="preserve">           </w:t>
      </w:r>
      <w:r>
        <w:rPr>
          <w:rFonts w:hint="default" w:ascii="Times New Roman" w:hAnsi="Times New Roman" w:eastAsia="仿宋" w:cs="Times New Roman"/>
          <w:color w:val="auto"/>
          <w:sz w:val="32"/>
          <w:szCs w:val="32"/>
          <w:highlight w:val="none"/>
        </w:rPr>
        <w:t>（盖单位公章）</w:t>
      </w:r>
    </w:p>
    <w:p w14:paraId="4BAAE386">
      <w:pPr>
        <w:bidi w:val="0"/>
        <w:ind w:firstLine="2240" w:firstLineChars="7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bCs/>
          <w:color w:val="auto"/>
          <w:sz w:val="32"/>
          <w:szCs w:val="32"/>
          <w:highlight w:val="none"/>
        </w:rPr>
        <w:t>日  期：</w:t>
      </w:r>
      <w:r>
        <w:rPr>
          <w:rFonts w:hint="default" w:ascii="Times New Roman" w:hAnsi="Times New Roman" w:eastAsia="仿宋" w:cs="Times New Roman"/>
          <w:color w:val="auto"/>
          <w:sz w:val="32"/>
          <w:szCs w:val="32"/>
          <w:highlight w:val="none"/>
          <w:u w:val="single"/>
        </w:rPr>
        <w:t xml:space="preserve">       </w:t>
      </w:r>
      <w:r>
        <w:rPr>
          <w:rFonts w:hint="default" w:ascii="Times New Roman" w:hAnsi="Times New Roman" w:eastAsia="仿宋" w:cs="Times New Roman"/>
          <w:bCs/>
          <w:color w:val="auto"/>
          <w:sz w:val="32"/>
          <w:szCs w:val="32"/>
          <w:highlight w:val="none"/>
        </w:rPr>
        <w:t>年</w:t>
      </w:r>
      <w:r>
        <w:rPr>
          <w:rFonts w:hint="default" w:ascii="Times New Roman" w:hAnsi="Times New Roman" w:eastAsia="仿宋" w:cs="Times New Roman"/>
          <w:color w:val="auto"/>
          <w:sz w:val="32"/>
          <w:szCs w:val="32"/>
          <w:highlight w:val="none"/>
          <w:u w:val="single"/>
        </w:rPr>
        <w:t xml:space="preserve">      </w:t>
      </w:r>
      <w:r>
        <w:rPr>
          <w:rFonts w:hint="default" w:ascii="Times New Roman" w:hAnsi="Times New Roman" w:eastAsia="仿宋" w:cs="Times New Roman"/>
          <w:bCs/>
          <w:color w:val="auto"/>
          <w:sz w:val="32"/>
          <w:szCs w:val="32"/>
          <w:highlight w:val="none"/>
        </w:rPr>
        <w:t>月</w:t>
      </w:r>
      <w:r>
        <w:rPr>
          <w:rFonts w:hint="default" w:ascii="Times New Roman" w:hAnsi="Times New Roman" w:eastAsia="仿宋" w:cs="Times New Roman"/>
          <w:color w:val="auto"/>
          <w:sz w:val="32"/>
          <w:szCs w:val="32"/>
          <w:highlight w:val="none"/>
          <w:u w:val="single"/>
        </w:rPr>
        <w:t xml:space="preserve">       </w:t>
      </w:r>
      <w:r>
        <w:rPr>
          <w:rFonts w:hint="default" w:ascii="Times New Roman" w:hAnsi="Times New Roman" w:eastAsia="仿宋" w:cs="Times New Roman"/>
          <w:bCs/>
          <w:color w:val="auto"/>
          <w:sz w:val="32"/>
          <w:szCs w:val="32"/>
          <w:highlight w:val="none"/>
        </w:rPr>
        <w:t>日</w:t>
      </w:r>
    </w:p>
    <w:p w14:paraId="01FDF53E">
      <w:pPr>
        <w:pStyle w:val="3"/>
        <w:rPr>
          <w:rFonts w:hint="default" w:ascii="Times New Roman" w:hAnsi="Times New Roman" w:eastAsia="仿宋" w:cs="Times New Roman"/>
          <w:lang w:val="en-US" w:eastAsia="zh-CN"/>
        </w:rPr>
      </w:pPr>
    </w:p>
    <w:p w14:paraId="506B69E6">
      <w:pPr>
        <w:rPr>
          <w:rFonts w:hint="default" w:ascii="Times New Roman" w:hAnsi="Times New Roman" w:cs="Times New Roman"/>
          <w:lang w:val="en-US" w:eastAsia="zh-CN"/>
        </w:rPr>
      </w:pPr>
    </w:p>
    <w:p w14:paraId="4CAE6F67">
      <w:pPr>
        <w:pStyle w:val="3"/>
        <w:rPr>
          <w:rFonts w:hint="default" w:ascii="Times New Roman" w:hAnsi="Times New Roman" w:cs="Times New Roman"/>
          <w:lang w:val="en-US" w:eastAsia="zh-CN"/>
        </w:rPr>
      </w:pPr>
    </w:p>
    <w:p w14:paraId="234CCCB2">
      <w:pPr>
        <w:rPr>
          <w:rFonts w:hint="default" w:ascii="Times New Roman" w:hAnsi="Times New Roman" w:cs="Times New Roman"/>
          <w:lang w:val="en-US" w:eastAsia="zh-CN"/>
        </w:rPr>
      </w:pPr>
    </w:p>
    <w:p w14:paraId="73B51027">
      <w:pPr>
        <w:pStyle w:val="3"/>
        <w:rPr>
          <w:rFonts w:hint="default" w:ascii="Times New Roman" w:hAnsi="Times New Roman" w:cs="Times New Roman"/>
          <w:lang w:val="en-US" w:eastAsia="zh-CN"/>
        </w:rPr>
      </w:pPr>
    </w:p>
    <w:p w14:paraId="1656AAAF">
      <w:pPr>
        <w:rPr>
          <w:rFonts w:hint="default" w:ascii="Times New Roman" w:hAnsi="Times New Roman" w:cs="Times New Roman"/>
          <w:lang w:val="en-US" w:eastAsia="zh-CN"/>
        </w:rPr>
      </w:pPr>
    </w:p>
    <w:p w14:paraId="708CCDAC">
      <w:pPr>
        <w:pStyle w:val="3"/>
        <w:rPr>
          <w:rFonts w:hint="default" w:ascii="Times New Roman" w:hAnsi="Times New Roman" w:cs="Times New Roman"/>
          <w:lang w:val="en-US" w:eastAsia="zh-CN"/>
        </w:rPr>
      </w:pPr>
    </w:p>
    <w:p w14:paraId="4741A251">
      <w:pPr>
        <w:rPr>
          <w:rFonts w:hint="default" w:ascii="Times New Roman" w:hAnsi="Times New Roman" w:cs="Times New Roman"/>
          <w:lang w:val="en-US" w:eastAsia="zh-CN"/>
        </w:rPr>
      </w:pPr>
    </w:p>
    <w:p w14:paraId="52C729B4">
      <w:pPr>
        <w:pStyle w:val="3"/>
        <w:rPr>
          <w:rFonts w:hint="default" w:ascii="Times New Roman" w:hAnsi="Times New Roman" w:cs="Times New Roman"/>
          <w:lang w:val="en-US" w:eastAsia="zh-CN"/>
        </w:rPr>
      </w:pPr>
    </w:p>
    <w:p w14:paraId="529D68D2">
      <w:pPr>
        <w:rPr>
          <w:rFonts w:hint="default" w:ascii="Times New Roman" w:hAnsi="Times New Roman" w:cs="Times New Roman"/>
          <w:lang w:val="en-US" w:eastAsia="zh-CN"/>
        </w:rPr>
      </w:pPr>
    </w:p>
    <w:p w14:paraId="13DF8519">
      <w:pPr>
        <w:pStyle w:val="3"/>
        <w:rPr>
          <w:rFonts w:hint="eastAsia" w:cs="Times New Roman"/>
          <w:lang w:val="en-US" w:eastAsia="zh-CN"/>
        </w:rPr>
      </w:pPr>
      <w:r>
        <w:rPr>
          <w:rFonts w:hint="eastAsia" w:cs="Times New Roman"/>
          <w:lang w:val="en-US" w:eastAsia="zh-CN"/>
        </w:rPr>
        <w:t>附件：</w:t>
      </w:r>
    </w:p>
    <w:tbl>
      <w:tblPr>
        <w:tblStyle w:val="8"/>
        <w:tblW w:w="102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0"/>
        <w:gridCol w:w="870"/>
        <w:gridCol w:w="2115"/>
        <w:gridCol w:w="555"/>
        <w:gridCol w:w="633"/>
        <w:gridCol w:w="1077"/>
        <w:gridCol w:w="1065"/>
        <w:gridCol w:w="3307"/>
      </w:tblGrid>
      <w:tr w14:paraId="06C1C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jc w:val="center"/>
        </w:trPr>
        <w:tc>
          <w:tcPr>
            <w:tcW w:w="10262" w:type="dxa"/>
            <w:gridSpan w:val="8"/>
            <w:tcBorders>
              <w:top w:val="single" w:color="000000" w:sz="8" w:space="0"/>
              <w:left w:val="single" w:color="000000" w:sz="8" w:space="0"/>
              <w:bottom w:val="single" w:color="000000" w:sz="8" w:space="0"/>
              <w:right w:val="single" w:color="000000" w:sz="8" w:space="0"/>
            </w:tcBorders>
            <w:shd w:val="clear" w:color="auto" w:fill="auto"/>
            <w:vAlign w:val="center"/>
          </w:tcPr>
          <w:p w14:paraId="0DEC53F8">
            <w:pPr>
              <w:keepNext w:val="0"/>
              <w:keepLines w:val="0"/>
              <w:widowControl/>
              <w:suppressLineNumbers w:val="0"/>
              <w:ind w:firstLineChars="100"/>
              <w:jc w:val="center"/>
              <w:textAlignment w:val="top"/>
              <w:rPr>
                <w:rFonts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32"/>
                <w:szCs w:val="32"/>
                <w:u w:val="none"/>
                <w:lang w:val="en-US" w:eastAsia="zh-CN" w:bidi="ar"/>
              </w:rPr>
              <w:t>报价清单表</w:t>
            </w:r>
          </w:p>
        </w:tc>
      </w:tr>
      <w:tr w14:paraId="04117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40" w:type="dxa"/>
            <w:tcBorders>
              <w:top w:val="nil"/>
              <w:left w:val="single" w:color="000000" w:sz="8" w:space="0"/>
              <w:bottom w:val="single" w:color="000000" w:sz="8" w:space="0"/>
              <w:right w:val="single" w:color="000000" w:sz="8" w:space="0"/>
            </w:tcBorders>
            <w:shd w:val="clear" w:color="auto" w:fill="auto"/>
            <w:vAlign w:val="center"/>
          </w:tcPr>
          <w:p w14:paraId="74F262C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序号</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D90CD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名称</w:t>
            </w:r>
          </w:p>
        </w:tc>
        <w:tc>
          <w:tcPr>
            <w:tcW w:w="21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B54AFE">
            <w:pPr>
              <w:keepNext w:val="0"/>
              <w:keepLines w:val="0"/>
              <w:pageBreakBefore w:val="0"/>
              <w:widowControl/>
              <w:suppressLineNumbers w:val="0"/>
              <w:kinsoku/>
              <w:wordWrap/>
              <w:overflowPunct/>
              <w:topLinePunct w:val="0"/>
              <w:autoSpaceDE/>
              <w:autoSpaceDN/>
              <w:bidi w:val="0"/>
              <w:adjustRightInd/>
              <w:snapToGrid/>
              <w:ind w:firstLineChars="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材质</w:t>
            </w:r>
            <w:r>
              <w:rPr>
                <w:rFonts w:hint="default" w:ascii="Times New Roman" w:hAnsi="Times New Roman" w:eastAsia="仿宋_GB2312" w:cs="Times New Roman"/>
                <w:i w:val="0"/>
                <w:iCs w:val="0"/>
                <w:color w:val="000000"/>
                <w:kern w:val="0"/>
                <w:sz w:val="21"/>
                <w:szCs w:val="21"/>
                <w:u w:val="none"/>
                <w:lang w:val="en-US" w:eastAsia="zh-CN" w:bidi="ar"/>
              </w:rPr>
              <w:t>/</w:t>
            </w:r>
            <w:r>
              <w:rPr>
                <w:rStyle w:val="10"/>
                <w:rFonts w:hAnsi="宋体"/>
                <w:lang w:val="en-US" w:eastAsia="zh-CN" w:bidi="ar"/>
              </w:rPr>
              <w:t>颜色</w:t>
            </w:r>
            <w:r>
              <w:rPr>
                <w:rFonts w:hint="default" w:ascii="Times New Roman" w:hAnsi="Times New Roman" w:eastAsia="仿宋_GB2312" w:cs="Times New Roman"/>
                <w:i w:val="0"/>
                <w:iCs w:val="0"/>
                <w:color w:val="000000"/>
                <w:kern w:val="0"/>
                <w:sz w:val="21"/>
                <w:szCs w:val="21"/>
                <w:u w:val="none"/>
                <w:lang w:val="en-US" w:eastAsia="zh-CN" w:bidi="ar"/>
              </w:rPr>
              <w:t>/</w:t>
            </w:r>
            <w:r>
              <w:rPr>
                <w:rStyle w:val="10"/>
                <w:rFonts w:hAnsi="宋体"/>
                <w:lang w:val="en-US" w:eastAsia="zh-CN" w:bidi="ar"/>
              </w:rPr>
              <w:t>规格型号</w:t>
            </w:r>
          </w:p>
        </w:tc>
        <w:tc>
          <w:tcPr>
            <w:tcW w:w="5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DAD2E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数量</w:t>
            </w:r>
          </w:p>
        </w:tc>
        <w:tc>
          <w:tcPr>
            <w:tcW w:w="6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C2BE5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税率</w:t>
            </w:r>
          </w:p>
        </w:tc>
        <w:tc>
          <w:tcPr>
            <w:tcW w:w="10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DEE35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含税单价（元）</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ED72E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含税总价</w:t>
            </w:r>
          </w:p>
          <w:p w14:paraId="18C5FB0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（元）</w:t>
            </w:r>
          </w:p>
        </w:tc>
        <w:tc>
          <w:tcPr>
            <w:tcW w:w="33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C5067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备注</w:t>
            </w:r>
          </w:p>
        </w:tc>
      </w:tr>
      <w:tr w14:paraId="62466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4" w:hRule="atLeast"/>
          <w:jc w:val="center"/>
        </w:trPr>
        <w:tc>
          <w:tcPr>
            <w:tcW w:w="640" w:type="dxa"/>
            <w:tcBorders>
              <w:top w:val="nil"/>
              <w:left w:val="single" w:color="000000" w:sz="8" w:space="0"/>
              <w:bottom w:val="single" w:color="000000" w:sz="8" w:space="0"/>
              <w:right w:val="single" w:color="000000" w:sz="8" w:space="0"/>
            </w:tcBorders>
            <w:shd w:val="clear" w:color="auto" w:fill="auto"/>
            <w:vAlign w:val="center"/>
          </w:tcPr>
          <w:p w14:paraId="4403906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870" w:type="dxa"/>
            <w:tcBorders>
              <w:top w:val="nil"/>
              <w:left w:val="single" w:color="000000" w:sz="8" w:space="0"/>
              <w:bottom w:val="single" w:color="000000" w:sz="8" w:space="0"/>
              <w:right w:val="single" w:color="000000" w:sz="8" w:space="0"/>
            </w:tcBorders>
            <w:shd w:val="clear" w:color="auto" w:fill="auto"/>
            <w:vAlign w:val="center"/>
          </w:tcPr>
          <w:p w14:paraId="04E2495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成品岗亭</w:t>
            </w:r>
          </w:p>
        </w:tc>
        <w:tc>
          <w:tcPr>
            <w:tcW w:w="2115" w:type="dxa"/>
            <w:tcBorders>
              <w:top w:val="nil"/>
              <w:left w:val="single" w:color="000000" w:sz="8" w:space="0"/>
              <w:bottom w:val="single" w:color="000000" w:sz="8" w:space="0"/>
              <w:right w:val="single" w:color="000000" w:sz="8" w:space="0"/>
            </w:tcBorders>
            <w:shd w:val="clear" w:color="auto" w:fill="auto"/>
            <w:vAlign w:val="top"/>
          </w:tcPr>
          <w:p w14:paraId="346C7D9C">
            <w:pPr>
              <w:keepNext w:val="0"/>
              <w:keepLines w:val="0"/>
              <w:pageBreakBefore w:val="0"/>
              <w:widowControl/>
              <w:suppressLineNumbers w:val="0"/>
              <w:kinsoku/>
              <w:wordWrap/>
              <w:overflowPunct/>
              <w:topLinePunct w:val="0"/>
              <w:autoSpaceDE/>
              <w:autoSpaceDN/>
              <w:bidi w:val="0"/>
              <w:adjustRightInd/>
              <w:snapToGrid/>
              <w:ind w:firstLineChars="0"/>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r>
              <w:rPr>
                <w:rStyle w:val="10"/>
                <w:rFonts w:hAnsi="Times New Roman"/>
                <w:lang w:val="en-US" w:eastAsia="zh-CN" w:bidi="ar"/>
              </w:rPr>
              <w:t>镀锌钢板包集成墙板，镀锌钢表面刷真石漆、单层钢化玻璃；</w:t>
            </w:r>
          </w:p>
          <w:p w14:paraId="30A749E4">
            <w:pPr>
              <w:keepNext w:val="0"/>
              <w:keepLines w:val="0"/>
              <w:pageBreakBefore w:val="0"/>
              <w:widowControl/>
              <w:suppressLineNumbers w:val="0"/>
              <w:kinsoku/>
              <w:wordWrap/>
              <w:overflowPunct/>
              <w:topLinePunct w:val="0"/>
              <w:autoSpaceDE/>
              <w:autoSpaceDN/>
              <w:bidi w:val="0"/>
              <w:adjustRightInd/>
              <w:snapToGrid/>
              <w:ind w:firstLineChars="0"/>
              <w:jc w:val="left"/>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r>
              <w:rPr>
                <w:rStyle w:val="10"/>
                <w:rFonts w:hAnsi="Times New Roman"/>
                <w:lang w:val="en-US" w:eastAsia="zh-CN" w:bidi="ar"/>
              </w:rPr>
              <w:t>尺寸：</w:t>
            </w:r>
            <w:r>
              <w:rPr>
                <w:rFonts w:hint="default" w:ascii="Times New Roman" w:hAnsi="Times New Roman" w:eastAsia="宋体" w:cs="Times New Roman"/>
                <w:i w:val="0"/>
                <w:iCs w:val="0"/>
                <w:color w:val="000000"/>
                <w:kern w:val="0"/>
                <w:sz w:val="21"/>
                <w:szCs w:val="21"/>
                <w:u w:val="none"/>
                <w:lang w:val="en-US" w:eastAsia="zh-CN" w:bidi="ar"/>
              </w:rPr>
              <w:t>2*2*2.8m</w:t>
            </w:r>
            <w:r>
              <w:rPr>
                <w:rStyle w:val="10"/>
                <w:rFonts w:hAnsi="Times New Roman"/>
                <w:lang w:val="en-US" w:eastAsia="zh-CN" w:bidi="ar"/>
              </w:rPr>
              <w:t>；</w:t>
            </w:r>
          </w:p>
          <w:p w14:paraId="311D9A90">
            <w:pPr>
              <w:keepNext w:val="0"/>
              <w:keepLines w:val="0"/>
              <w:pageBreakBefore w:val="0"/>
              <w:widowControl/>
              <w:suppressLineNumbers w:val="0"/>
              <w:kinsoku/>
              <w:wordWrap/>
              <w:overflowPunct/>
              <w:topLinePunct w:val="0"/>
              <w:autoSpaceDE/>
              <w:autoSpaceDN/>
              <w:bidi w:val="0"/>
              <w:adjustRightInd/>
              <w:snapToGrid/>
              <w:ind w:firstLineChars="0"/>
              <w:jc w:val="left"/>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r>
              <w:rPr>
                <w:rStyle w:val="10"/>
                <w:rFonts w:hAnsi="Times New Roman"/>
                <w:lang w:val="en-US" w:eastAsia="zh-CN" w:bidi="ar"/>
              </w:rPr>
              <w:t>不含室内配套设施，不含玻璃防爆膜、防晒膜、室外灯具；</w:t>
            </w:r>
          </w:p>
        </w:tc>
        <w:tc>
          <w:tcPr>
            <w:tcW w:w="555" w:type="dxa"/>
            <w:tcBorders>
              <w:top w:val="nil"/>
              <w:left w:val="single" w:color="000000" w:sz="8" w:space="0"/>
              <w:bottom w:val="single" w:color="000000" w:sz="8" w:space="0"/>
              <w:right w:val="single" w:color="000000" w:sz="8" w:space="0"/>
            </w:tcBorders>
            <w:shd w:val="clear" w:color="auto" w:fill="auto"/>
            <w:vAlign w:val="center"/>
          </w:tcPr>
          <w:p w14:paraId="6F43967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633" w:type="dxa"/>
            <w:tcBorders>
              <w:top w:val="nil"/>
              <w:left w:val="single" w:color="000000" w:sz="8" w:space="0"/>
              <w:bottom w:val="single" w:color="000000" w:sz="8" w:space="0"/>
              <w:right w:val="single" w:color="000000" w:sz="8" w:space="0"/>
            </w:tcBorders>
            <w:shd w:val="clear" w:color="auto" w:fill="auto"/>
            <w:vAlign w:val="center"/>
          </w:tcPr>
          <w:p w14:paraId="7BC2797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w:t>
            </w:r>
          </w:p>
        </w:tc>
        <w:tc>
          <w:tcPr>
            <w:tcW w:w="1077" w:type="dxa"/>
            <w:tcBorders>
              <w:top w:val="nil"/>
              <w:left w:val="single" w:color="000000" w:sz="8" w:space="0"/>
              <w:bottom w:val="single" w:color="000000" w:sz="8" w:space="0"/>
              <w:right w:val="single" w:color="000000" w:sz="8" w:space="0"/>
            </w:tcBorders>
            <w:shd w:val="clear" w:color="auto" w:fill="auto"/>
            <w:vAlign w:val="center"/>
          </w:tcPr>
          <w:p w14:paraId="69BCCABC">
            <w:pPr>
              <w:keepNext w:val="0"/>
              <w:keepLines w:val="0"/>
              <w:pageBreakBefore w:val="0"/>
              <w:widowControl/>
              <w:kinsoku/>
              <w:wordWrap/>
              <w:overflowPunct/>
              <w:topLinePunct w:val="0"/>
              <w:autoSpaceDE/>
              <w:autoSpaceDN/>
              <w:bidi w:val="0"/>
              <w:adjustRightInd/>
              <w:snapToGrid/>
              <w:ind w:firstLineChars="0"/>
              <w:jc w:val="center"/>
              <w:rPr>
                <w:rFonts w:hint="eastAsia" w:ascii="仿宋_GB2312" w:hAnsi="宋体" w:eastAsia="仿宋_GB2312" w:cs="仿宋_GB2312"/>
                <w:i w:val="0"/>
                <w:iCs w:val="0"/>
                <w:color w:val="000000"/>
                <w:sz w:val="21"/>
                <w:szCs w:val="21"/>
                <w:u w:val="none"/>
              </w:rPr>
            </w:pPr>
          </w:p>
        </w:tc>
        <w:tc>
          <w:tcPr>
            <w:tcW w:w="1065" w:type="dxa"/>
            <w:tcBorders>
              <w:top w:val="nil"/>
              <w:left w:val="single" w:color="000000" w:sz="8" w:space="0"/>
              <w:bottom w:val="single" w:color="000000" w:sz="8" w:space="0"/>
              <w:right w:val="single" w:color="000000" w:sz="8" w:space="0"/>
            </w:tcBorders>
            <w:shd w:val="clear" w:color="auto" w:fill="auto"/>
            <w:vAlign w:val="center"/>
          </w:tcPr>
          <w:p w14:paraId="415F2654">
            <w:pPr>
              <w:keepNext w:val="0"/>
              <w:keepLines w:val="0"/>
              <w:pageBreakBefore w:val="0"/>
              <w:widowControl/>
              <w:kinsoku/>
              <w:wordWrap/>
              <w:overflowPunct/>
              <w:topLinePunct w:val="0"/>
              <w:autoSpaceDE/>
              <w:autoSpaceDN/>
              <w:bidi w:val="0"/>
              <w:adjustRightInd/>
              <w:snapToGrid/>
              <w:ind w:firstLineChars="0"/>
              <w:jc w:val="center"/>
              <w:rPr>
                <w:rFonts w:hint="eastAsia" w:ascii="仿宋_GB2312" w:hAnsi="宋体" w:eastAsia="仿宋_GB2312" w:cs="仿宋_GB2312"/>
                <w:i w:val="0"/>
                <w:iCs w:val="0"/>
                <w:color w:val="000000"/>
                <w:sz w:val="21"/>
                <w:szCs w:val="21"/>
                <w:u w:val="none"/>
              </w:rPr>
            </w:pPr>
          </w:p>
        </w:tc>
        <w:tc>
          <w:tcPr>
            <w:tcW w:w="3307" w:type="dxa"/>
            <w:tcBorders>
              <w:top w:val="nil"/>
              <w:left w:val="single" w:color="000000" w:sz="8" w:space="0"/>
              <w:bottom w:val="single" w:color="000000" w:sz="8" w:space="0"/>
              <w:right w:val="single" w:color="000000" w:sz="8" w:space="0"/>
            </w:tcBorders>
            <w:shd w:val="clear" w:color="auto" w:fill="auto"/>
            <w:vAlign w:val="center"/>
          </w:tcPr>
          <w:p w14:paraId="5F69E635">
            <w:pPr>
              <w:keepNext w:val="0"/>
              <w:keepLines w:val="0"/>
              <w:pageBreakBefore w:val="0"/>
              <w:widowControl/>
              <w:kinsoku/>
              <w:wordWrap/>
              <w:overflowPunct/>
              <w:topLinePunct w:val="0"/>
              <w:autoSpaceDE/>
              <w:autoSpaceDN/>
              <w:bidi w:val="0"/>
              <w:adjustRightInd/>
              <w:snapToGrid/>
              <w:ind w:firstLineChars="0"/>
              <w:jc w:val="center"/>
              <w:rPr>
                <w:rFonts w:hint="eastAsia" w:ascii="仿宋_GB2312" w:hAnsi="宋体" w:eastAsia="仿宋_GB2312" w:cs="仿宋_GB2312"/>
                <w:i w:val="0"/>
                <w:iCs w:val="0"/>
                <w:color w:val="000000"/>
                <w:sz w:val="21"/>
                <w:szCs w:val="21"/>
                <w:u w:val="none"/>
              </w:rPr>
            </w:pPr>
            <w:r>
              <w:drawing>
                <wp:inline distT="0" distB="0" distL="114300" distR="114300">
                  <wp:extent cx="2086610" cy="1695450"/>
                  <wp:effectExtent l="0" t="0" r="889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r:link="rId9"/>
                          <a:stretch>
                            <a:fillRect/>
                          </a:stretch>
                        </pic:blipFill>
                        <pic:spPr>
                          <a:xfrm>
                            <a:off x="0" y="0"/>
                            <a:ext cx="2086610" cy="1695450"/>
                          </a:xfrm>
                          <a:prstGeom prst="rect">
                            <a:avLst/>
                          </a:prstGeom>
                          <a:noFill/>
                          <a:ln w="9525">
                            <a:noFill/>
                          </a:ln>
                        </pic:spPr>
                      </pic:pic>
                    </a:graphicData>
                  </a:graphic>
                </wp:inline>
              </w:drawing>
            </w:r>
          </w:p>
        </w:tc>
      </w:tr>
      <w:tr w14:paraId="08618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2" w:hRule="atLeast"/>
          <w:jc w:val="center"/>
        </w:trPr>
        <w:tc>
          <w:tcPr>
            <w:tcW w:w="640" w:type="dxa"/>
            <w:tcBorders>
              <w:top w:val="nil"/>
              <w:left w:val="single" w:color="000000" w:sz="8" w:space="0"/>
              <w:bottom w:val="single" w:color="000000" w:sz="8" w:space="0"/>
              <w:right w:val="single" w:color="000000" w:sz="8" w:space="0"/>
            </w:tcBorders>
            <w:shd w:val="clear" w:color="auto" w:fill="auto"/>
            <w:vAlign w:val="center"/>
          </w:tcPr>
          <w:p w14:paraId="0DD5FEC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870" w:type="dxa"/>
            <w:tcBorders>
              <w:top w:val="nil"/>
              <w:left w:val="single" w:color="000000" w:sz="8" w:space="0"/>
              <w:bottom w:val="single" w:color="000000" w:sz="8" w:space="0"/>
              <w:right w:val="single" w:color="000000" w:sz="8" w:space="0"/>
            </w:tcBorders>
            <w:shd w:val="clear" w:color="auto" w:fill="auto"/>
            <w:vAlign w:val="center"/>
          </w:tcPr>
          <w:p w14:paraId="3753628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成品组合花箱</w:t>
            </w:r>
          </w:p>
        </w:tc>
        <w:tc>
          <w:tcPr>
            <w:tcW w:w="2115" w:type="dxa"/>
            <w:tcBorders>
              <w:top w:val="nil"/>
              <w:left w:val="single" w:color="000000" w:sz="8" w:space="0"/>
              <w:bottom w:val="single" w:color="000000" w:sz="8" w:space="0"/>
              <w:right w:val="single" w:color="000000" w:sz="8" w:space="0"/>
            </w:tcBorders>
            <w:shd w:val="clear" w:color="auto" w:fill="auto"/>
            <w:vAlign w:val="top"/>
          </w:tcPr>
          <w:p w14:paraId="06180EBD">
            <w:pPr>
              <w:keepNext w:val="0"/>
              <w:keepLines w:val="0"/>
              <w:pageBreakBefore w:val="0"/>
              <w:widowControl/>
              <w:suppressLineNumbers w:val="0"/>
              <w:kinsoku/>
              <w:wordWrap/>
              <w:overflowPunct/>
              <w:topLinePunct w:val="0"/>
              <w:autoSpaceDE/>
              <w:autoSpaceDN/>
              <w:bidi w:val="0"/>
              <w:adjustRightInd/>
              <w:snapToGrid/>
              <w:ind w:firstLineChars="0"/>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r>
              <w:rPr>
                <w:rStyle w:val="10"/>
                <w:rFonts w:hAnsi="Times New Roman"/>
                <w:lang w:val="en-US" w:eastAsia="zh-CN" w:bidi="ar"/>
              </w:rPr>
              <w:t>材质</w:t>
            </w:r>
            <w:r>
              <w:rPr>
                <w:rFonts w:hint="default" w:ascii="Times New Roman" w:hAnsi="Times New Roman" w:eastAsia="宋体" w:cs="Times New Roman"/>
                <w:i w:val="0"/>
                <w:iCs w:val="0"/>
                <w:color w:val="000000"/>
                <w:kern w:val="0"/>
                <w:sz w:val="21"/>
                <w:szCs w:val="21"/>
                <w:u w:val="none"/>
                <w:lang w:val="en-US" w:eastAsia="zh-CN" w:bidi="ar"/>
              </w:rPr>
              <w:t>:</w:t>
            </w:r>
            <w:r>
              <w:rPr>
                <w:rStyle w:val="10"/>
                <w:rFonts w:hAnsi="Times New Roman"/>
                <w:lang w:val="en-US" w:eastAsia="zh-CN" w:bidi="ar"/>
              </w:rPr>
              <w:t>不锈钢；</w:t>
            </w:r>
          </w:p>
          <w:p w14:paraId="6D5036F7">
            <w:pPr>
              <w:keepNext w:val="0"/>
              <w:keepLines w:val="0"/>
              <w:pageBreakBefore w:val="0"/>
              <w:widowControl/>
              <w:suppressLineNumbers w:val="0"/>
              <w:kinsoku/>
              <w:wordWrap/>
              <w:overflowPunct/>
              <w:topLinePunct w:val="0"/>
              <w:autoSpaceDE/>
              <w:autoSpaceDN/>
              <w:bidi w:val="0"/>
              <w:adjustRightInd/>
              <w:snapToGrid/>
              <w:ind w:firstLineChars="0"/>
              <w:jc w:val="left"/>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r>
              <w:rPr>
                <w:rStyle w:val="10"/>
                <w:rFonts w:hAnsi="Times New Roman"/>
                <w:lang w:val="en-US" w:eastAsia="zh-CN" w:bidi="ar"/>
              </w:rPr>
              <w:t>尺寸</w:t>
            </w:r>
            <w:r>
              <w:rPr>
                <w:rFonts w:hint="default" w:ascii="Times New Roman" w:hAnsi="Times New Roman" w:eastAsia="宋体" w:cs="Times New Roman"/>
                <w:i w:val="0"/>
                <w:iCs w:val="0"/>
                <w:color w:val="000000"/>
                <w:kern w:val="0"/>
                <w:sz w:val="21"/>
                <w:szCs w:val="21"/>
                <w:u w:val="none"/>
                <w:lang w:val="en-US" w:eastAsia="zh-CN" w:bidi="ar"/>
              </w:rPr>
              <w:t>:</w:t>
            </w:r>
            <w:r>
              <w:rPr>
                <w:rStyle w:val="10"/>
                <w:rFonts w:hAnsi="Times New Roman"/>
                <w:lang w:val="en-US" w:eastAsia="zh-CN" w:bidi="ar"/>
              </w:rPr>
              <w:t>每组</w:t>
            </w:r>
            <w:r>
              <w:rPr>
                <w:rFonts w:hint="default" w:ascii="Times New Roman" w:hAnsi="Times New Roman" w:eastAsia="宋体" w:cs="Times New Roman"/>
                <w:i w:val="0"/>
                <w:iCs w:val="0"/>
                <w:color w:val="000000"/>
                <w:kern w:val="0"/>
                <w:sz w:val="21"/>
                <w:szCs w:val="21"/>
                <w:u w:val="none"/>
                <w:lang w:val="en-US" w:eastAsia="zh-CN" w:bidi="ar"/>
              </w:rPr>
              <w:t>1</w:t>
            </w:r>
            <w:r>
              <w:rPr>
                <w:rStyle w:val="10"/>
                <w:rFonts w:hAnsi="Times New Roman"/>
                <w:lang w:val="en-US" w:eastAsia="zh-CN" w:bidi="ar"/>
              </w:rPr>
              <w:t>个</w:t>
            </w:r>
            <w:r>
              <w:rPr>
                <w:rFonts w:hint="default" w:ascii="Times New Roman" w:hAnsi="Times New Roman" w:eastAsia="宋体" w:cs="Times New Roman"/>
                <w:i w:val="0"/>
                <w:iCs w:val="0"/>
                <w:color w:val="000000"/>
                <w:kern w:val="0"/>
                <w:sz w:val="21"/>
                <w:szCs w:val="21"/>
                <w:u w:val="none"/>
                <w:lang w:val="en-US" w:eastAsia="zh-CN" w:bidi="ar"/>
              </w:rPr>
              <w:t>,</w:t>
            </w:r>
            <w:r>
              <w:rPr>
                <w:rStyle w:val="10"/>
                <w:rFonts w:hAnsi="Times New Roman"/>
                <w:lang w:val="en-US" w:eastAsia="zh-CN" w:bidi="ar"/>
              </w:rPr>
              <w:t>长</w:t>
            </w:r>
            <w:r>
              <w:rPr>
                <w:rFonts w:hint="default" w:ascii="Times New Roman" w:hAnsi="Times New Roman" w:eastAsia="宋体" w:cs="Times New Roman"/>
                <w:i w:val="0"/>
                <w:iCs w:val="0"/>
                <w:color w:val="000000"/>
                <w:kern w:val="0"/>
                <w:sz w:val="21"/>
                <w:szCs w:val="21"/>
                <w:u w:val="none"/>
                <w:lang w:val="en-US" w:eastAsia="zh-CN" w:bidi="ar"/>
              </w:rPr>
              <w:t>1.14m</w:t>
            </w:r>
            <w:r>
              <w:rPr>
                <w:rStyle w:val="10"/>
                <w:rFonts w:hAnsi="Times New Roman"/>
                <w:lang w:val="en-US" w:eastAsia="zh-CN" w:bidi="ar"/>
              </w:rPr>
              <w:t>，宽</w:t>
            </w:r>
            <w:r>
              <w:rPr>
                <w:rFonts w:hint="default" w:ascii="Times New Roman" w:hAnsi="Times New Roman" w:eastAsia="宋体" w:cs="Times New Roman"/>
                <w:i w:val="0"/>
                <w:iCs w:val="0"/>
                <w:color w:val="000000"/>
                <w:kern w:val="0"/>
                <w:sz w:val="21"/>
                <w:szCs w:val="21"/>
                <w:u w:val="none"/>
                <w:lang w:val="en-US" w:eastAsia="zh-CN" w:bidi="ar"/>
              </w:rPr>
              <w:t>0.6m,</w:t>
            </w:r>
            <w:r>
              <w:rPr>
                <w:rStyle w:val="10"/>
                <w:rFonts w:hAnsi="Times New Roman"/>
                <w:lang w:val="en-US" w:eastAsia="zh-CN" w:bidi="ar"/>
              </w:rPr>
              <w:t xml:space="preserve">高 </w:t>
            </w:r>
            <w:r>
              <w:rPr>
                <w:rFonts w:hint="default" w:ascii="Times New Roman" w:hAnsi="Times New Roman" w:eastAsia="宋体" w:cs="Times New Roman"/>
                <w:i w:val="0"/>
                <w:iCs w:val="0"/>
                <w:color w:val="000000"/>
                <w:kern w:val="0"/>
                <w:sz w:val="21"/>
                <w:szCs w:val="21"/>
                <w:u w:val="none"/>
                <w:lang w:val="en-US" w:eastAsia="zh-CN" w:bidi="ar"/>
              </w:rPr>
              <w:t>0.9m</w:t>
            </w:r>
            <w:r>
              <w:rPr>
                <w:rStyle w:val="10"/>
                <w:rFonts w:hAnsi="Times New Roman"/>
                <w:lang w:val="en-US" w:eastAsia="zh-CN" w:bidi="ar"/>
              </w:rPr>
              <w:t>；</w:t>
            </w:r>
          </w:p>
          <w:p w14:paraId="5A812BF1">
            <w:pPr>
              <w:keepNext w:val="0"/>
              <w:keepLines w:val="0"/>
              <w:pageBreakBefore w:val="0"/>
              <w:widowControl/>
              <w:suppressLineNumbers w:val="0"/>
              <w:kinsoku/>
              <w:wordWrap/>
              <w:overflowPunct/>
              <w:topLinePunct w:val="0"/>
              <w:autoSpaceDE/>
              <w:autoSpaceDN/>
              <w:bidi w:val="0"/>
              <w:adjustRightInd/>
              <w:snapToGrid/>
              <w:ind w:firstLineChars="0"/>
              <w:jc w:val="left"/>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r>
              <w:rPr>
                <w:rStyle w:val="10"/>
                <w:rFonts w:hAnsi="Times New Roman"/>
                <w:lang w:val="en-US" w:eastAsia="zh-CN" w:bidi="ar"/>
              </w:rPr>
              <w:t>颜色</w:t>
            </w:r>
            <w:r>
              <w:rPr>
                <w:rFonts w:hint="default" w:ascii="Times New Roman" w:hAnsi="Times New Roman" w:eastAsia="宋体" w:cs="Times New Roman"/>
                <w:i w:val="0"/>
                <w:iCs w:val="0"/>
                <w:color w:val="000000"/>
                <w:kern w:val="0"/>
                <w:sz w:val="21"/>
                <w:szCs w:val="21"/>
                <w:u w:val="none"/>
                <w:lang w:val="en-US" w:eastAsia="zh-CN" w:bidi="ar"/>
              </w:rPr>
              <w:t>:</w:t>
            </w:r>
            <w:r>
              <w:rPr>
                <w:rStyle w:val="10"/>
                <w:rFonts w:hAnsi="Times New Roman"/>
                <w:lang w:val="en-US" w:eastAsia="zh-CN" w:bidi="ar"/>
              </w:rPr>
              <w:t xml:space="preserve">深咖色，种植深度 </w:t>
            </w:r>
            <w:r>
              <w:rPr>
                <w:rFonts w:hint="default" w:ascii="Times New Roman" w:hAnsi="Times New Roman" w:eastAsia="宋体" w:cs="Times New Roman"/>
                <w:i w:val="0"/>
                <w:iCs w:val="0"/>
                <w:color w:val="000000"/>
                <w:kern w:val="0"/>
                <w:sz w:val="21"/>
                <w:szCs w:val="21"/>
                <w:u w:val="none"/>
                <w:lang w:val="en-US" w:eastAsia="zh-CN" w:bidi="ar"/>
              </w:rPr>
              <w:t>25-30</w:t>
            </w:r>
            <w:r>
              <w:rPr>
                <w:rStyle w:val="10"/>
                <w:rFonts w:hAnsi="Times New Roman"/>
                <w:lang w:val="en-US" w:eastAsia="zh-CN" w:bidi="ar"/>
              </w:rPr>
              <w:t>厘米左右；</w:t>
            </w:r>
          </w:p>
        </w:tc>
        <w:tc>
          <w:tcPr>
            <w:tcW w:w="555" w:type="dxa"/>
            <w:tcBorders>
              <w:top w:val="nil"/>
              <w:left w:val="single" w:color="000000" w:sz="8" w:space="0"/>
              <w:bottom w:val="single" w:color="000000" w:sz="8" w:space="0"/>
              <w:right w:val="single" w:color="000000" w:sz="8" w:space="0"/>
            </w:tcBorders>
            <w:shd w:val="clear" w:color="auto" w:fill="auto"/>
            <w:vAlign w:val="center"/>
          </w:tcPr>
          <w:p w14:paraId="09DC0FB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633" w:type="dxa"/>
            <w:tcBorders>
              <w:top w:val="nil"/>
              <w:left w:val="single" w:color="000000" w:sz="8" w:space="0"/>
              <w:bottom w:val="single" w:color="000000" w:sz="8" w:space="0"/>
              <w:right w:val="single" w:color="000000" w:sz="8" w:space="0"/>
            </w:tcBorders>
            <w:shd w:val="clear" w:color="auto" w:fill="auto"/>
            <w:vAlign w:val="center"/>
          </w:tcPr>
          <w:p w14:paraId="4EE408F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w:t>
            </w:r>
          </w:p>
        </w:tc>
        <w:tc>
          <w:tcPr>
            <w:tcW w:w="1077" w:type="dxa"/>
            <w:tcBorders>
              <w:top w:val="nil"/>
              <w:left w:val="single" w:color="000000" w:sz="8" w:space="0"/>
              <w:bottom w:val="single" w:color="000000" w:sz="8" w:space="0"/>
              <w:right w:val="single" w:color="000000" w:sz="8" w:space="0"/>
            </w:tcBorders>
            <w:shd w:val="clear" w:color="auto" w:fill="auto"/>
            <w:vAlign w:val="center"/>
          </w:tcPr>
          <w:p w14:paraId="71828451">
            <w:pPr>
              <w:keepNext w:val="0"/>
              <w:keepLines w:val="0"/>
              <w:pageBreakBefore w:val="0"/>
              <w:widowControl/>
              <w:kinsoku/>
              <w:wordWrap/>
              <w:overflowPunct/>
              <w:topLinePunct w:val="0"/>
              <w:autoSpaceDE/>
              <w:autoSpaceDN/>
              <w:bidi w:val="0"/>
              <w:adjustRightInd/>
              <w:snapToGrid/>
              <w:ind w:firstLineChars="0"/>
              <w:jc w:val="center"/>
              <w:rPr>
                <w:rFonts w:hint="eastAsia" w:ascii="仿宋_GB2312" w:hAnsi="宋体" w:eastAsia="仿宋_GB2312" w:cs="仿宋_GB2312"/>
                <w:i w:val="0"/>
                <w:iCs w:val="0"/>
                <w:color w:val="000000"/>
                <w:sz w:val="21"/>
                <w:szCs w:val="21"/>
                <w:u w:val="none"/>
              </w:rPr>
            </w:pPr>
          </w:p>
        </w:tc>
        <w:tc>
          <w:tcPr>
            <w:tcW w:w="1065" w:type="dxa"/>
            <w:tcBorders>
              <w:top w:val="nil"/>
              <w:left w:val="single" w:color="000000" w:sz="8" w:space="0"/>
              <w:bottom w:val="single" w:color="000000" w:sz="8" w:space="0"/>
              <w:right w:val="single" w:color="000000" w:sz="8" w:space="0"/>
            </w:tcBorders>
            <w:shd w:val="clear" w:color="auto" w:fill="auto"/>
            <w:vAlign w:val="center"/>
          </w:tcPr>
          <w:p w14:paraId="4DE81548">
            <w:pPr>
              <w:keepNext w:val="0"/>
              <w:keepLines w:val="0"/>
              <w:pageBreakBefore w:val="0"/>
              <w:widowControl/>
              <w:kinsoku/>
              <w:wordWrap/>
              <w:overflowPunct/>
              <w:topLinePunct w:val="0"/>
              <w:autoSpaceDE/>
              <w:autoSpaceDN/>
              <w:bidi w:val="0"/>
              <w:adjustRightInd/>
              <w:snapToGrid/>
              <w:ind w:firstLineChars="0"/>
              <w:jc w:val="center"/>
              <w:rPr>
                <w:rFonts w:hint="eastAsia" w:ascii="仿宋_GB2312" w:hAnsi="宋体" w:eastAsia="仿宋_GB2312" w:cs="仿宋_GB2312"/>
                <w:i w:val="0"/>
                <w:iCs w:val="0"/>
                <w:color w:val="000000"/>
                <w:sz w:val="21"/>
                <w:szCs w:val="21"/>
                <w:u w:val="none"/>
              </w:rPr>
            </w:pPr>
          </w:p>
        </w:tc>
        <w:tc>
          <w:tcPr>
            <w:tcW w:w="3307" w:type="dxa"/>
            <w:tcBorders>
              <w:top w:val="nil"/>
              <w:left w:val="single" w:color="000000" w:sz="8" w:space="0"/>
              <w:bottom w:val="single" w:color="000000" w:sz="8" w:space="0"/>
              <w:right w:val="single" w:color="000000" w:sz="8" w:space="0"/>
            </w:tcBorders>
            <w:shd w:val="clear" w:color="auto" w:fill="auto"/>
            <w:vAlign w:val="center"/>
          </w:tcPr>
          <w:p w14:paraId="436E6733">
            <w:pPr>
              <w:keepNext w:val="0"/>
              <w:keepLines w:val="0"/>
              <w:pageBreakBefore w:val="0"/>
              <w:widowControl/>
              <w:kinsoku/>
              <w:wordWrap/>
              <w:overflowPunct/>
              <w:topLinePunct w:val="0"/>
              <w:autoSpaceDE/>
              <w:autoSpaceDN/>
              <w:bidi w:val="0"/>
              <w:adjustRightInd/>
              <w:snapToGrid/>
              <w:ind w:firstLineChars="0"/>
              <w:jc w:val="center"/>
              <w:rPr>
                <w:rFonts w:hint="default" w:ascii="Times New Roman" w:hAnsi="Times New Roman" w:eastAsia="宋体" w:cs="Times New Roman"/>
                <w:i w:val="0"/>
                <w:iCs w:val="0"/>
                <w:color w:val="000000"/>
                <w:sz w:val="21"/>
                <w:szCs w:val="21"/>
                <w:u w:val="none"/>
              </w:rPr>
            </w:pPr>
            <w:r>
              <w:drawing>
                <wp:inline distT="0" distB="0" distL="114300" distR="114300">
                  <wp:extent cx="1905000" cy="1123950"/>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0" r:link="rId11"/>
                          <a:stretch>
                            <a:fillRect/>
                          </a:stretch>
                        </pic:blipFill>
                        <pic:spPr>
                          <a:xfrm>
                            <a:off x="0" y="0"/>
                            <a:ext cx="1905000" cy="1123950"/>
                          </a:xfrm>
                          <a:prstGeom prst="rect">
                            <a:avLst/>
                          </a:prstGeom>
                          <a:noFill/>
                          <a:ln w="9525">
                            <a:noFill/>
                          </a:ln>
                        </pic:spPr>
                      </pic:pic>
                    </a:graphicData>
                  </a:graphic>
                </wp:inline>
              </w:drawing>
            </w:r>
          </w:p>
        </w:tc>
      </w:tr>
      <w:tr w14:paraId="51E0F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640" w:type="dxa"/>
            <w:tcBorders>
              <w:top w:val="nil"/>
              <w:left w:val="single" w:color="000000" w:sz="8" w:space="0"/>
              <w:bottom w:val="single" w:color="000000" w:sz="8" w:space="0"/>
              <w:right w:val="single" w:color="000000" w:sz="8" w:space="0"/>
            </w:tcBorders>
            <w:shd w:val="clear" w:color="auto" w:fill="auto"/>
            <w:vAlign w:val="center"/>
          </w:tcPr>
          <w:p w14:paraId="7BA69D2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870" w:type="dxa"/>
            <w:tcBorders>
              <w:top w:val="nil"/>
              <w:left w:val="single" w:color="000000" w:sz="8" w:space="0"/>
              <w:bottom w:val="single" w:color="000000" w:sz="8" w:space="0"/>
              <w:right w:val="single" w:color="000000" w:sz="8" w:space="0"/>
            </w:tcBorders>
            <w:shd w:val="clear" w:color="auto" w:fill="auto"/>
            <w:vAlign w:val="center"/>
          </w:tcPr>
          <w:p w14:paraId="30A6847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成品室外太阳伞</w:t>
            </w:r>
          </w:p>
        </w:tc>
        <w:tc>
          <w:tcPr>
            <w:tcW w:w="2115" w:type="dxa"/>
            <w:tcBorders>
              <w:top w:val="nil"/>
              <w:left w:val="single" w:color="000000" w:sz="8" w:space="0"/>
              <w:bottom w:val="single" w:color="000000" w:sz="8" w:space="0"/>
              <w:right w:val="single" w:color="000000" w:sz="8" w:space="0"/>
            </w:tcBorders>
            <w:shd w:val="clear" w:color="auto" w:fill="auto"/>
            <w:vAlign w:val="top"/>
          </w:tcPr>
          <w:p w14:paraId="308BD8B4">
            <w:pPr>
              <w:keepNext w:val="0"/>
              <w:keepLines w:val="0"/>
              <w:pageBreakBefore w:val="0"/>
              <w:widowControl/>
              <w:suppressLineNumbers w:val="0"/>
              <w:kinsoku/>
              <w:wordWrap/>
              <w:overflowPunct/>
              <w:topLinePunct w:val="0"/>
              <w:autoSpaceDE/>
              <w:autoSpaceDN/>
              <w:bidi w:val="0"/>
              <w:adjustRightInd/>
              <w:snapToGrid/>
              <w:ind w:firstLineChars="0"/>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r>
              <w:rPr>
                <w:rStyle w:val="10"/>
                <w:rFonts w:hAnsi="Times New Roman"/>
                <w:lang w:val="en-US" w:eastAsia="zh-CN" w:bidi="ar"/>
              </w:rPr>
              <w:t>材质</w:t>
            </w:r>
            <w:r>
              <w:rPr>
                <w:rFonts w:hint="default" w:ascii="Times New Roman" w:hAnsi="Times New Roman" w:eastAsia="宋体" w:cs="Times New Roman"/>
                <w:i w:val="0"/>
                <w:iCs w:val="0"/>
                <w:color w:val="000000"/>
                <w:kern w:val="0"/>
                <w:sz w:val="21"/>
                <w:szCs w:val="21"/>
                <w:u w:val="none"/>
                <w:lang w:val="en-US" w:eastAsia="zh-CN" w:bidi="ar"/>
              </w:rPr>
              <w:t>:</w:t>
            </w:r>
            <w:r>
              <w:rPr>
                <w:rStyle w:val="10"/>
                <w:rFonts w:hAnsi="Times New Roman"/>
                <w:lang w:val="en-US" w:eastAsia="zh-CN" w:bidi="ar"/>
              </w:rPr>
              <w:t>金属；</w:t>
            </w:r>
          </w:p>
          <w:p w14:paraId="4676729E">
            <w:pPr>
              <w:keepNext w:val="0"/>
              <w:keepLines w:val="0"/>
              <w:pageBreakBefore w:val="0"/>
              <w:widowControl/>
              <w:suppressLineNumbers w:val="0"/>
              <w:kinsoku/>
              <w:wordWrap/>
              <w:overflowPunct/>
              <w:topLinePunct w:val="0"/>
              <w:autoSpaceDE/>
              <w:autoSpaceDN/>
              <w:bidi w:val="0"/>
              <w:adjustRightInd/>
              <w:snapToGrid/>
              <w:ind w:firstLineChars="0"/>
              <w:jc w:val="left"/>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r>
              <w:rPr>
                <w:rStyle w:val="10"/>
                <w:rFonts w:hAnsi="Times New Roman"/>
                <w:lang w:val="en-US" w:eastAsia="zh-CN" w:bidi="ar"/>
              </w:rPr>
              <w:t>尺寸</w:t>
            </w:r>
            <w:r>
              <w:rPr>
                <w:rFonts w:hint="default" w:ascii="Times New Roman" w:hAnsi="Times New Roman" w:eastAsia="宋体" w:cs="Times New Roman"/>
                <w:i w:val="0"/>
                <w:iCs w:val="0"/>
                <w:color w:val="000000"/>
                <w:kern w:val="0"/>
                <w:sz w:val="21"/>
                <w:szCs w:val="21"/>
                <w:u w:val="none"/>
                <w:lang w:val="en-US" w:eastAsia="zh-CN" w:bidi="ar"/>
              </w:rPr>
              <w:t>:</w:t>
            </w:r>
            <w:r>
              <w:rPr>
                <w:rStyle w:val="10"/>
                <w:rFonts w:hAnsi="Times New Roman"/>
                <w:lang w:val="en-US" w:eastAsia="zh-CN" w:bidi="ar"/>
              </w:rPr>
              <w:t>阳伞直径</w:t>
            </w:r>
            <w:r>
              <w:rPr>
                <w:rFonts w:hint="default" w:ascii="Times New Roman" w:hAnsi="Times New Roman" w:eastAsia="宋体" w:cs="Times New Roman"/>
                <w:i w:val="0"/>
                <w:iCs w:val="0"/>
                <w:color w:val="000000"/>
                <w:kern w:val="0"/>
                <w:sz w:val="21"/>
                <w:szCs w:val="21"/>
                <w:u w:val="none"/>
                <w:lang w:val="en-US" w:eastAsia="zh-CN" w:bidi="ar"/>
              </w:rPr>
              <w:t>3m</w:t>
            </w:r>
            <w:r>
              <w:rPr>
                <w:rStyle w:val="10"/>
                <w:rFonts w:hAnsi="Times New Roman"/>
                <w:lang w:val="en-US" w:eastAsia="zh-CN" w:bidi="ar"/>
              </w:rPr>
              <w:t>；</w:t>
            </w:r>
          </w:p>
          <w:p w14:paraId="4FF274DB">
            <w:pPr>
              <w:keepNext w:val="0"/>
              <w:keepLines w:val="0"/>
              <w:pageBreakBefore w:val="0"/>
              <w:widowControl/>
              <w:suppressLineNumbers w:val="0"/>
              <w:kinsoku/>
              <w:wordWrap/>
              <w:overflowPunct/>
              <w:topLinePunct w:val="0"/>
              <w:autoSpaceDE/>
              <w:autoSpaceDN/>
              <w:bidi w:val="0"/>
              <w:adjustRightInd/>
              <w:snapToGrid/>
              <w:ind w:firstLineChars="0"/>
              <w:jc w:val="both"/>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r>
              <w:rPr>
                <w:rStyle w:val="10"/>
                <w:rFonts w:hAnsi="Times New Roman"/>
                <w:lang w:val="en-US" w:eastAsia="zh-CN" w:bidi="ar"/>
              </w:rPr>
              <w:t>配一桌四椅，椅子为铝合金网布椅子，长</w:t>
            </w:r>
            <w:r>
              <w:rPr>
                <w:rFonts w:hint="default" w:ascii="Times New Roman" w:hAnsi="Times New Roman" w:eastAsia="宋体" w:cs="Times New Roman"/>
                <w:i w:val="0"/>
                <w:iCs w:val="0"/>
                <w:color w:val="000000"/>
                <w:kern w:val="0"/>
                <w:sz w:val="21"/>
                <w:szCs w:val="21"/>
                <w:u w:val="none"/>
                <w:lang w:val="en-US" w:eastAsia="zh-CN" w:bidi="ar"/>
              </w:rPr>
              <w:t>0.525m</w:t>
            </w:r>
            <w:r>
              <w:rPr>
                <w:rStyle w:val="10"/>
                <w:rFonts w:hAnsi="Times New Roman"/>
                <w:lang w:val="en-US" w:eastAsia="zh-CN" w:bidi="ar"/>
              </w:rPr>
              <w:t>，宽</w:t>
            </w:r>
            <w:r>
              <w:rPr>
                <w:rFonts w:hint="default" w:ascii="Times New Roman" w:hAnsi="Times New Roman" w:eastAsia="宋体" w:cs="Times New Roman"/>
                <w:i w:val="0"/>
                <w:iCs w:val="0"/>
                <w:color w:val="000000"/>
                <w:kern w:val="0"/>
                <w:sz w:val="21"/>
                <w:szCs w:val="21"/>
                <w:u w:val="none"/>
                <w:lang w:val="en-US" w:eastAsia="zh-CN" w:bidi="ar"/>
              </w:rPr>
              <w:t>0.59m</w:t>
            </w:r>
            <w:r>
              <w:rPr>
                <w:rStyle w:val="10"/>
                <w:rFonts w:hAnsi="Times New Roman"/>
                <w:lang w:val="en-US" w:eastAsia="zh-CN" w:bidi="ar"/>
              </w:rPr>
              <w:t>，高</w:t>
            </w:r>
            <w:r>
              <w:rPr>
                <w:rFonts w:hint="default" w:ascii="Times New Roman" w:hAnsi="Times New Roman" w:eastAsia="宋体" w:cs="Times New Roman"/>
                <w:i w:val="0"/>
                <w:iCs w:val="0"/>
                <w:color w:val="000000"/>
                <w:kern w:val="0"/>
                <w:sz w:val="21"/>
                <w:szCs w:val="21"/>
                <w:u w:val="none"/>
                <w:lang w:val="en-US" w:eastAsia="zh-CN" w:bidi="ar"/>
              </w:rPr>
              <w:t>85cm</w:t>
            </w:r>
            <w:r>
              <w:rPr>
                <w:rStyle w:val="10"/>
                <w:rFonts w:hAnsi="Times New Roman"/>
                <w:lang w:val="en-US" w:eastAsia="zh-CN" w:bidi="ar"/>
              </w:rPr>
              <w:t>；桌子为铝合金长方桌，长度</w:t>
            </w:r>
            <w:r>
              <w:rPr>
                <w:rFonts w:hint="default" w:ascii="Times New Roman" w:hAnsi="Times New Roman" w:eastAsia="宋体" w:cs="Times New Roman"/>
                <w:i w:val="0"/>
                <w:iCs w:val="0"/>
                <w:color w:val="000000"/>
                <w:kern w:val="0"/>
                <w:sz w:val="21"/>
                <w:szCs w:val="21"/>
                <w:u w:val="none"/>
                <w:lang w:val="en-US" w:eastAsia="zh-CN" w:bidi="ar"/>
              </w:rPr>
              <w:t>160cm</w:t>
            </w:r>
            <w:r>
              <w:rPr>
                <w:rStyle w:val="10"/>
                <w:rFonts w:hAnsi="Times New Roman"/>
                <w:lang w:val="en-US" w:eastAsia="zh-CN" w:bidi="ar"/>
              </w:rPr>
              <w:t>，宽度</w:t>
            </w:r>
            <w:r>
              <w:rPr>
                <w:rFonts w:hint="default" w:ascii="Times New Roman" w:hAnsi="Times New Roman" w:eastAsia="宋体" w:cs="Times New Roman"/>
                <w:i w:val="0"/>
                <w:iCs w:val="0"/>
                <w:color w:val="000000"/>
                <w:kern w:val="0"/>
                <w:sz w:val="21"/>
                <w:szCs w:val="21"/>
                <w:u w:val="none"/>
                <w:lang w:val="en-US" w:eastAsia="zh-CN" w:bidi="ar"/>
              </w:rPr>
              <w:t>90cm</w:t>
            </w:r>
            <w:r>
              <w:rPr>
                <w:rStyle w:val="10"/>
                <w:rFonts w:hAnsi="Times New Roman"/>
                <w:lang w:val="en-US" w:eastAsia="zh-CN" w:bidi="ar"/>
              </w:rPr>
              <w:t>；</w:t>
            </w:r>
          </w:p>
        </w:tc>
        <w:tc>
          <w:tcPr>
            <w:tcW w:w="555" w:type="dxa"/>
            <w:tcBorders>
              <w:top w:val="nil"/>
              <w:left w:val="single" w:color="000000" w:sz="8" w:space="0"/>
              <w:bottom w:val="single" w:color="000000" w:sz="8" w:space="0"/>
              <w:right w:val="single" w:color="000000" w:sz="8" w:space="0"/>
            </w:tcBorders>
            <w:shd w:val="clear" w:color="auto" w:fill="auto"/>
            <w:vAlign w:val="center"/>
          </w:tcPr>
          <w:p w14:paraId="09C091C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633" w:type="dxa"/>
            <w:tcBorders>
              <w:top w:val="nil"/>
              <w:left w:val="single" w:color="000000" w:sz="8" w:space="0"/>
              <w:bottom w:val="single" w:color="000000" w:sz="8" w:space="0"/>
              <w:right w:val="single" w:color="000000" w:sz="8" w:space="0"/>
            </w:tcBorders>
            <w:shd w:val="clear" w:color="auto" w:fill="auto"/>
            <w:vAlign w:val="center"/>
          </w:tcPr>
          <w:p w14:paraId="149FC41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w:t>
            </w:r>
          </w:p>
        </w:tc>
        <w:tc>
          <w:tcPr>
            <w:tcW w:w="1077" w:type="dxa"/>
            <w:tcBorders>
              <w:top w:val="nil"/>
              <w:left w:val="single" w:color="000000" w:sz="8" w:space="0"/>
              <w:bottom w:val="single" w:color="000000" w:sz="8" w:space="0"/>
              <w:right w:val="single" w:color="000000" w:sz="8" w:space="0"/>
            </w:tcBorders>
            <w:shd w:val="clear" w:color="auto" w:fill="auto"/>
            <w:vAlign w:val="center"/>
          </w:tcPr>
          <w:p w14:paraId="690162B1">
            <w:pPr>
              <w:keepNext w:val="0"/>
              <w:keepLines w:val="0"/>
              <w:pageBreakBefore w:val="0"/>
              <w:widowControl/>
              <w:kinsoku/>
              <w:wordWrap/>
              <w:overflowPunct/>
              <w:topLinePunct w:val="0"/>
              <w:autoSpaceDE/>
              <w:autoSpaceDN/>
              <w:bidi w:val="0"/>
              <w:adjustRightInd/>
              <w:snapToGrid/>
              <w:ind w:firstLineChars="0"/>
              <w:jc w:val="center"/>
              <w:rPr>
                <w:rFonts w:hint="eastAsia" w:ascii="仿宋_GB2312" w:hAnsi="宋体" w:eastAsia="仿宋_GB2312" w:cs="仿宋_GB2312"/>
                <w:i w:val="0"/>
                <w:iCs w:val="0"/>
                <w:color w:val="000000"/>
                <w:sz w:val="21"/>
                <w:szCs w:val="21"/>
                <w:u w:val="none"/>
              </w:rPr>
            </w:pPr>
          </w:p>
        </w:tc>
        <w:tc>
          <w:tcPr>
            <w:tcW w:w="1065" w:type="dxa"/>
            <w:tcBorders>
              <w:top w:val="nil"/>
              <w:left w:val="single" w:color="000000" w:sz="8" w:space="0"/>
              <w:bottom w:val="single" w:color="000000" w:sz="8" w:space="0"/>
              <w:right w:val="single" w:color="000000" w:sz="8" w:space="0"/>
            </w:tcBorders>
            <w:shd w:val="clear" w:color="auto" w:fill="auto"/>
            <w:vAlign w:val="center"/>
          </w:tcPr>
          <w:p w14:paraId="372CED70">
            <w:pPr>
              <w:keepNext w:val="0"/>
              <w:keepLines w:val="0"/>
              <w:pageBreakBefore w:val="0"/>
              <w:widowControl/>
              <w:kinsoku/>
              <w:wordWrap/>
              <w:overflowPunct/>
              <w:topLinePunct w:val="0"/>
              <w:autoSpaceDE/>
              <w:autoSpaceDN/>
              <w:bidi w:val="0"/>
              <w:adjustRightInd/>
              <w:snapToGrid/>
              <w:ind w:firstLineChars="0"/>
              <w:jc w:val="center"/>
              <w:rPr>
                <w:rFonts w:hint="eastAsia" w:ascii="仿宋_GB2312" w:hAnsi="宋体" w:eastAsia="仿宋_GB2312" w:cs="仿宋_GB2312"/>
                <w:i w:val="0"/>
                <w:iCs w:val="0"/>
                <w:color w:val="000000"/>
                <w:sz w:val="21"/>
                <w:szCs w:val="21"/>
                <w:u w:val="none"/>
              </w:rPr>
            </w:pPr>
          </w:p>
        </w:tc>
        <w:tc>
          <w:tcPr>
            <w:tcW w:w="3307" w:type="dxa"/>
            <w:tcBorders>
              <w:top w:val="nil"/>
              <w:left w:val="single" w:color="000000" w:sz="8" w:space="0"/>
              <w:bottom w:val="single" w:color="000000" w:sz="8" w:space="0"/>
              <w:right w:val="single" w:color="000000" w:sz="8" w:space="0"/>
            </w:tcBorders>
            <w:shd w:val="clear" w:color="auto" w:fill="auto"/>
            <w:vAlign w:val="center"/>
          </w:tcPr>
          <w:p w14:paraId="36657FDE">
            <w:pPr>
              <w:keepNext w:val="0"/>
              <w:keepLines w:val="0"/>
              <w:pageBreakBefore w:val="0"/>
              <w:widowControl/>
              <w:kinsoku/>
              <w:wordWrap/>
              <w:overflowPunct/>
              <w:topLinePunct w:val="0"/>
              <w:autoSpaceDE/>
              <w:autoSpaceDN/>
              <w:bidi w:val="0"/>
              <w:adjustRightInd/>
              <w:snapToGrid/>
              <w:ind w:firstLineChars="0"/>
              <w:jc w:val="center"/>
              <w:rPr>
                <w:rFonts w:hint="default" w:ascii="Times New Roman" w:hAnsi="Times New Roman" w:eastAsia="宋体" w:cs="Times New Roman"/>
                <w:i w:val="0"/>
                <w:iCs w:val="0"/>
                <w:color w:val="000000"/>
                <w:sz w:val="21"/>
                <w:szCs w:val="21"/>
                <w:u w:val="none"/>
              </w:rPr>
            </w:pPr>
            <w:r>
              <w:drawing>
                <wp:inline distT="0" distB="0" distL="114300" distR="114300">
                  <wp:extent cx="1667510" cy="2171700"/>
                  <wp:effectExtent l="0" t="0" r="889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2" r:link="rId13"/>
                          <a:stretch>
                            <a:fillRect/>
                          </a:stretch>
                        </pic:blipFill>
                        <pic:spPr>
                          <a:xfrm>
                            <a:off x="0" y="0"/>
                            <a:ext cx="1667510" cy="2171700"/>
                          </a:xfrm>
                          <a:prstGeom prst="rect">
                            <a:avLst/>
                          </a:prstGeom>
                          <a:noFill/>
                          <a:ln w="9525">
                            <a:noFill/>
                          </a:ln>
                        </pic:spPr>
                      </pic:pic>
                    </a:graphicData>
                  </a:graphic>
                </wp:inline>
              </w:drawing>
            </w:r>
          </w:p>
        </w:tc>
      </w:tr>
      <w:tr w14:paraId="38335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5890" w:type="dxa"/>
            <w:gridSpan w:val="6"/>
            <w:tcBorders>
              <w:top w:val="nil"/>
              <w:left w:val="single" w:color="000000" w:sz="8" w:space="0"/>
              <w:bottom w:val="single" w:color="000000" w:sz="8" w:space="0"/>
              <w:right w:val="single" w:color="000000" w:sz="8" w:space="0"/>
            </w:tcBorders>
            <w:shd w:val="clear" w:color="auto" w:fill="auto"/>
            <w:vAlign w:val="center"/>
          </w:tcPr>
          <w:p w14:paraId="49BFB3D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合计：（元）</w:t>
            </w:r>
          </w:p>
        </w:tc>
        <w:tc>
          <w:tcPr>
            <w:tcW w:w="1065" w:type="dxa"/>
            <w:tcBorders>
              <w:top w:val="nil"/>
              <w:left w:val="single" w:color="000000" w:sz="8" w:space="0"/>
              <w:bottom w:val="single" w:color="000000" w:sz="8" w:space="0"/>
              <w:right w:val="single" w:color="000000" w:sz="8" w:space="0"/>
            </w:tcBorders>
            <w:shd w:val="clear" w:color="auto" w:fill="auto"/>
            <w:vAlign w:val="center"/>
          </w:tcPr>
          <w:p w14:paraId="01C1BBCB">
            <w:pPr>
              <w:keepNext w:val="0"/>
              <w:keepLines w:val="0"/>
              <w:pageBreakBefore w:val="0"/>
              <w:widowControl/>
              <w:kinsoku/>
              <w:wordWrap/>
              <w:overflowPunct/>
              <w:topLinePunct w:val="0"/>
              <w:autoSpaceDE/>
              <w:autoSpaceDN/>
              <w:bidi w:val="0"/>
              <w:adjustRightInd/>
              <w:snapToGrid/>
              <w:ind w:firstLineChars="0"/>
              <w:jc w:val="center"/>
              <w:rPr>
                <w:rFonts w:hint="eastAsia" w:ascii="仿宋_GB2312" w:hAnsi="宋体" w:eastAsia="仿宋_GB2312" w:cs="仿宋_GB2312"/>
                <w:i w:val="0"/>
                <w:iCs w:val="0"/>
                <w:color w:val="000000"/>
                <w:sz w:val="21"/>
                <w:szCs w:val="21"/>
                <w:u w:val="none"/>
              </w:rPr>
            </w:pPr>
          </w:p>
        </w:tc>
        <w:tc>
          <w:tcPr>
            <w:tcW w:w="3307" w:type="dxa"/>
            <w:tcBorders>
              <w:top w:val="nil"/>
              <w:left w:val="single" w:color="000000" w:sz="8" w:space="0"/>
              <w:bottom w:val="single" w:color="000000" w:sz="8" w:space="0"/>
              <w:right w:val="single" w:color="000000" w:sz="8" w:space="0"/>
            </w:tcBorders>
            <w:shd w:val="clear" w:color="auto" w:fill="auto"/>
            <w:noWrap/>
            <w:vAlign w:val="center"/>
          </w:tcPr>
          <w:p w14:paraId="513F420A">
            <w:pPr>
              <w:keepNext w:val="0"/>
              <w:keepLines w:val="0"/>
              <w:pageBreakBefore w:val="0"/>
              <w:widowControl/>
              <w:kinsoku/>
              <w:wordWrap/>
              <w:overflowPunct/>
              <w:topLinePunct w:val="0"/>
              <w:autoSpaceDE/>
              <w:autoSpaceDN/>
              <w:bidi w:val="0"/>
              <w:adjustRightInd/>
              <w:snapToGrid/>
              <w:ind w:firstLineChars="0"/>
              <w:rPr>
                <w:rFonts w:hint="eastAsia" w:ascii="宋体" w:hAnsi="宋体" w:eastAsia="宋体" w:cs="宋体"/>
                <w:i w:val="0"/>
                <w:iCs w:val="0"/>
                <w:color w:val="000000"/>
                <w:sz w:val="22"/>
                <w:szCs w:val="22"/>
                <w:u w:val="none"/>
              </w:rPr>
            </w:pPr>
          </w:p>
        </w:tc>
      </w:tr>
    </w:tbl>
    <w:p w14:paraId="1EFC3FB5">
      <w:pPr>
        <w:rPr>
          <w:rFonts w:hint="default" w:ascii="Times New Roman" w:hAnsi="Times New Roman" w:eastAsia="黑体" w:cs="Times New Roman"/>
          <w:bCs/>
          <w:color w:val="auto"/>
          <w:sz w:val="32"/>
          <w:szCs w:val="32"/>
          <w:highlight w:val="none"/>
          <w:lang w:eastAsia="zh-CN"/>
        </w:rPr>
      </w:pPr>
    </w:p>
    <w:p w14:paraId="2B32280E">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textAlignment w:val="auto"/>
        <w:rPr>
          <w:rFonts w:hint="default" w:eastAsia="宋体"/>
          <w:sz w:val="24"/>
          <w:szCs w:val="32"/>
          <w:u w:val="single"/>
          <w:lang w:val="en-US" w:eastAsia="zh-CN"/>
        </w:rPr>
      </w:pPr>
      <w:r>
        <w:rPr>
          <w:rFonts w:hint="eastAsia" w:ascii="Times New Roman" w:hAnsi="Times New Roman" w:eastAsia="仿宋_GB2312" w:cs="Times New Roman"/>
          <w:color w:val="auto"/>
          <w:sz w:val="21"/>
          <w:szCs w:val="21"/>
          <w:highlight w:val="none"/>
          <w:lang w:val="en-US" w:eastAsia="zh-CN"/>
        </w:rPr>
        <w:t>注：</w:t>
      </w:r>
      <w:r>
        <w:rPr>
          <w:rFonts w:hint="eastAsia" w:eastAsia="仿宋_GB2312" w:cs="Times New Roman"/>
          <w:color w:val="auto"/>
          <w:sz w:val="21"/>
          <w:szCs w:val="21"/>
          <w:highlight w:val="none"/>
          <w:lang w:val="en-US" w:eastAsia="zh-CN"/>
        </w:rPr>
        <w:t>所有报价均用人民币表示，该单价为固定综合单价，包括但不限于运输费、上下车费、安装费、管理费、利润、税金等为完成本项目材料供应的所有费用。</w:t>
      </w:r>
    </w:p>
    <w:p w14:paraId="2B738A6A">
      <w:pPr>
        <w:rPr>
          <w:rFonts w:hint="default"/>
          <w:lang w:val="en-US" w:eastAsia="zh-CN"/>
        </w:rPr>
      </w:pPr>
    </w:p>
    <w:p w14:paraId="009B1858">
      <w:pPr>
        <w:rPr>
          <w:rFonts w:hint="default" w:ascii="Times New Roman" w:hAnsi="Times New Roman" w:cs="Times New Roman"/>
          <w:lang w:val="en-US" w:eastAsia="zh-CN"/>
        </w:rPr>
      </w:pPr>
    </w:p>
    <w:p w14:paraId="208D4D5A">
      <w:pPr>
        <w:pStyle w:val="3"/>
        <w:rPr>
          <w:rFonts w:hint="default"/>
          <w:lang w:val="en-US" w:eastAsia="zh-CN"/>
        </w:rPr>
        <w:sectPr>
          <w:pgSz w:w="11906" w:h="16838"/>
          <w:pgMar w:top="1440" w:right="1417" w:bottom="1440" w:left="1800" w:header="851" w:footer="992" w:gutter="0"/>
          <w:cols w:space="425" w:num="1"/>
          <w:docGrid w:type="lines" w:linePitch="312" w:charSpace="0"/>
        </w:sectPr>
      </w:pPr>
    </w:p>
    <w:p w14:paraId="251E0E8C">
      <w:pPr>
        <w:pStyle w:val="6"/>
        <w:ind w:left="0" w:leftChars="0" w:firstLine="0" w:firstLineChars="0"/>
        <w:jc w:val="center"/>
        <w:rPr>
          <w:rFonts w:hint="eastAsia" w:eastAsia="仿宋" w:cs="Times New Roman"/>
          <w:bCs/>
          <w:sz w:val="32"/>
          <w:szCs w:val="32"/>
          <w:highlight w:val="none"/>
          <w:lang w:val="en-US" w:eastAsia="zh-CN"/>
        </w:rPr>
      </w:pPr>
      <w:r>
        <w:rPr>
          <w:rFonts w:hint="eastAsia" w:eastAsia="仿宋" w:cs="Times New Roman"/>
          <w:bCs/>
          <w:sz w:val="32"/>
          <w:szCs w:val="32"/>
          <w:highlight w:val="none"/>
          <w:lang w:val="en-US" w:eastAsia="zh-CN"/>
        </w:rPr>
        <w:t>合同（范本）</w:t>
      </w:r>
    </w:p>
    <w:p w14:paraId="479E1ADF">
      <w:pPr>
        <w:pStyle w:val="6"/>
        <w:ind w:left="0" w:leftChars="0" w:firstLine="0" w:firstLineChars="0"/>
        <w:jc w:val="center"/>
        <w:rPr>
          <w:rFonts w:hint="default" w:eastAsia="仿宋" w:cs="Times New Roman"/>
          <w:bCs/>
          <w:sz w:val="32"/>
          <w:szCs w:val="32"/>
          <w:highlight w:val="none"/>
          <w:lang w:val="en-US" w:eastAsia="zh-CN"/>
        </w:rPr>
      </w:pPr>
      <w:r>
        <w:rPr>
          <w:rFonts w:hint="eastAsia" w:eastAsia="仿宋" w:cs="Times New Roman"/>
          <w:bCs/>
          <w:sz w:val="32"/>
          <w:szCs w:val="32"/>
          <w:highlight w:val="none"/>
          <w:lang w:val="en-US" w:eastAsia="zh-CN"/>
        </w:rPr>
        <w:t>（本合同主要条款作为双方签订合同的参考，但不得与询价文件的实质性内容相背离，以最终签订的合同文本为准。）</w:t>
      </w:r>
    </w:p>
    <w:p w14:paraId="110DDAA6">
      <w:pPr>
        <w:pStyle w:val="2"/>
        <w:rPr>
          <w:rFonts w:ascii="宋体" w:hAnsi="宋体" w:cs="宋体"/>
          <w:sz w:val="28"/>
          <w:szCs w:val="28"/>
          <w:highlight w:val="none"/>
        </w:rPr>
      </w:pPr>
      <w:bookmarkStart w:id="0" w:name="_Toc54012987"/>
      <w:r>
        <w:rPr>
          <w:rFonts w:hint="eastAsia" w:ascii="黑体" w:hAnsi="宋体" w:eastAsia="黑体"/>
          <w:b w:val="0"/>
          <w:bCs w:val="0"/>
          <w:sz w:val="32"/>
          <w:szCs w:val="32"/>
          <w:highlight w:val="none"/>
        </w:rPr>
        <w:t xml:space="preserve"> </w:t>
      </w:r>
      <w:bookmarkEnd w:id="0"/>
      <w:bookmarkStart w:id="1" w:name="_Toc21292"/>
      <w:bookmarkStart w:id="2" w:name="_Toc19141"/>
      <w:bookmarkStart w:id="3" w:name="_Toc10698"/>
      <w:bookmarkStart w:id="4" w:name="_Toc8710"/>
      <w:bookmarkStart w:id="5" w:name="_Toc22994"/>
      <w:bookmarkStart w:id="6" w:name="_Toc10886"/>
      <w:bookmarkStart w:id="7" w:name="_Toc24716"/>
      <w:bookmarkStart w:id="8" w:name="_Toc96096662"/>
      <w:r>
        <w:rPr>
          <w:rFonts w:hint="eastAsia" w:ascii="宋体" w:hAnsi="宋体" w:cs="宋体"/>
          <w:sz w:val="28"/>
          <w:szCs w:val="28"/>
          <w:highlight w:val="none"/>
        </w:rPr>
        <w:t>合同编号：</w:t>
      </w:r>
      <w:bookmarkEnd w:id="1"/>
      <w:bookmarkEnd w:id="2"/>
      <w:bookmarkEnd w:id="3"/>
      <w:bookmarkEnd w:id="4"/>
      <w:bookmarkEnd w:id="5"/>
      <w:bookmarkEnd w:id="6"/>
    </w:p>
    <w:p w14:paraId="33DC493A">
      <w:pPr>
        <w:rPr>
          <w:rFonts w:ascii="宋体" w:hAnsi="宋体" w:cs="宋体"/>
          <w:sz w:val="28"/>
          <w:szCs w:val="28"/>
          <w:highlight w:val="none"/>
        </w:rPr>
      </w:pPr>
    </w:p>
    <w:p w14:paraId="79A046BD">
      <w:pPr>
        <w:pStyle w:val="3"/>
        <w:jc w:val="center"/>
        <w:rPr>
          <w:rFonts w:hint="eastAsia" w:ascii="宋体" w:hAnsi="宋体" w:cs="宋体"/>
          <w:b/>
          <w:bCs/>
          <w:sz w:val="44"/>
          <w:szCs w:val="44"/>
          <w:highlight w:val="none"/>
        </w:rPr>
      </w:pPr>
    </w:p>
    <w:p w14:paraId="70F45EF7">
      <w:pPr>
        <w:pStyle w:val="3"/>
        <w:rPr>
          <w:rFonts w:ascii="宋体" w:hAnsi="宋体"/>
          <w:b/>
          <w:bCs/>
          <w:sz w:val="32"/>
          <w:highlight w:val="none"/>
        </w:rPr>
      </w:pPr>
    </w:p>
    <w:p w14:paraId="39705BD7">
      <w:pPr>
        <w:pStyle w:val="6"/>
        <w:ind w:firstLine="321"/>
        <w:rPr>
          <w:rFonts w:ascii="宋体" w:hAnsi="宋体"/>
          <w:b/>
          <w:bCs/>
          <w:sz w:val="32"/>
          <w:highlight w:val="none"/>
        </w:rPr>
      </w:pPr>
    </w:p>
    <w:p w14:paraId="17AAE863">
      <w:pPr>
        <w:spacing w:line="240" w:lineRule="auto"/>
        <w:jc w:val="center"/>
        <w:outlineLvl w:val="1"/>
        <w:rPr>
          <w:rFonts w:hint="default" w:ascii="方正小标宋简体" w:hAnsi="方正小标宋简体" w:eastAsia="方正小标宋简体" w:cs="方正小标宋简体"/>
          <w:sz w:val="44"/>
          <w:szCs w:val="44"/>
          <w:highlight w:val="none"/>
          <w:lang w:val="en-US"/>
        </w:rPr>
      </w:pPr>
      <w:r>
        <w:rPr>
          <w:rFonts w:hint="eastAsia" w:ascii="宋体" w:hAnsi="宋体" w:cs="宋体"/>
          <w:sz w:val="44"/>
          <w:szCs w:val="44"/>
          <w:highlight w:val="none"/>
          <w:u w:val="single"/>
          <w:lang w:val="en-US" w:eastAsia="zh-CN"/>
        </w:rPr>
        <w:t>广汉市航天航空科技孵化产业园项目-科技孵化中心及科技实验基地成品岗亭、组合花箱等材料采购合同</w:t>
      </w:r>
    </w:p>
    <w:p w14:paraId="1100A5F2">
      <w:pPr>
        <w:pStyle w:val="6"/>
        <w:ind w:firstLine="321"/>
        <w:rPr>
          <w:rFonts w:ascii="宋体" w:hAnsi="宋体"/>
          <w:b/>
          <w:bCs/>
          <w:sz w:val="32"/>
          <w:highlight w:val="none"/>
        </w:rPr>
      </w:pPr>
    </w:p>
    <w:p w14:paraId="4989C937">
      <w:pPr>
        <w:pStyle w:val="6"/>
        <w:ind w:firstLine="321"/>
        <w:rPr>
          <w:rFonts w:ascii="宋体" w:hAnsi="宋体"/>
          <w:b/>
          <w:bCs/>
          <w:sz w:val="32"/>
          <w:highlight w:val="none"/>
        </w:rPr>
      </w:pPr>
    </w:p>
    <w:p w14:paraId="4862F51A">
      <w:pPr>
        <w:pStyle w:val="6"/>
        <w:ind w:firstLine="321"/>
        <w:rPr>
          <w:rFonts w:ascii="宋体" w:hAnsi="宋体"/>
          <w:b/>
          <w:bCs/>
          <w:sz w:val="32"/>
          <w:highlight w:val="none"/>
        </w:rPr>
      </w:pPr>
    </w:p>
    <w:p w14:paraId="08FA165B">
      <w:pPr>
        <w:pStyle w:val="6"/>
        <w:ind w:firstLine="321"/>
        <w:rPr>
          <w:rFonts w:ascii="宋体" w:hAnsi="宋体"/>
          <w:b/>
          <w:bCs/>
          <w:sz w:val="32"/>
          <w:highlight w:val="none"/>
        </w:rPr>
      </w:pPr>
    </w:p>
    <w:p w14:paraId="757A12CE">
      <w:pPr>
        <w:pStyle w:val="6"/>
        <w:ind w:firstLine="321"/>
        <w:rPr>
          <w:rFonts w:ascii="宋体" w:hAnsi="宋体"/>
          <w:b/>
          <w:bCs/>
          <w:sz w:val="32"/>
          <w:highlight w:val="none"/>
        </w:rPr>
      </w:pPr>
    </w:p>
    <w:p w14:paraId="482C6EAD">
      <w:pPr>
        <w:pStyle w:val="6"/>
        <w:ind w:firstLine="0" w:firstLineChars="0"/>
        <w:jc w:val="center"/>
        <w:rPr>
          <w:rFonts w:ascii="黑体" w:hAnsi="黑体" w:eastAsia="黑体" w:cs="黑体"/>
          <w:sz w:val="44"/>
          <w:szCs w:val="44"/>
          <w:highlight w:val="none"/>
        </w:rPr>
        <w:sectPr>
          <w:footerReference r:id="rId6" w:type="first"/>
          <w:footerReference r:id="rId4" w:type="default"/>
          <w:headerReference r:id="rId3" w:type="even"/>
          <w:footerReference r:id="rId5" w:type="even"/>
          <w:pgSz w:w="11906" w:h="16838"/>
          <w:pgMar w:top="779" w:right="1466" w:bottom="779" w:left="1134" w:header="851" w:footer="992" w:gutter="0"/>
          <w:cols w:space="720" w:num="1"/>
          <w:docGrid w:type="lines" w:linePitch="312" w:charSpace="0"/>
        </w:sectPr>
      </w:pPr>
      <w:r>
        <w:rPr>
          <w:rFonts w:hint="eastAsia" w:ascii="宋体" w:hAnsi="宋体" w:cs="宋体"/>
          <w:sz w:val="28"/>
          <w:szCs w:val="28"/>
          <w:highlight w:val="none"/>
        </w:rPr>
        <w:t>签订日期</w:t>
      </w:r>
    </w:p>
    <w:bookmarkEnd w:id="7"/>
    <w:bookmarkEnd w:id="8"/>
    <w:p w14:paraId="4583CB5F">
      <w:pPr>
        <w:spacing w:line="560" w:lineRule="exact"/>
        <w:ind w:left="359" w:leftChars="171" w:right="359" w:rightChars="171" w:firstLine="480" w:firstLineChars="200"/>
        <w:rPr>
          <w:rFonts w:ascii="仿宋" w:hAnsi="仿宋" w:eastAsia="仿宋" w:cs="仿宋"/>
          <w:snapToGrid w:val="0"/>
          <w:color w:val="000000"/>
          <w:kern w:val="0"/>
          <w:sz w:val="24"/>
          <w:highlight w:val="none"/>
        </w:rPr>
      </w:pPr>
      <w:r>
        <w:rPr>
          <w:rFonts w:hint="eastAsia" w:ascii="仿宋" w:hAnsi="仿宋" w:eastAsia="仿宋" w:cs="仿宋"/>
          <w:color w:val="000000"/>
          <w:sz w:val="24"/>
          <w:highlight w:val="none"/>
        </w:rPr>
        <w:t xml:space="preserve">  合同编号：</w:t>
      </w:r>
    </w:p>
    <w:p w14:paraId="7878CD49">
      <w:pPr>
        <w:tabs>
          <w:tab w:val="left" w:pos="567"/>
        </w:tabs>
        <w:spacing w:line="560" w:lineRule="exact"/>
        <w:ind w:firstLine="480" w:firstLineChars="200"/>
        <w:jc w:val="left"/>
        <w:rPr>
          <w:rFonts w:ascii="仿宋" w:hAnsi="仿宋" w:eastAsia="仿宋" w:cs="仿宋"/>
          <w:color w:val="000000"/>
          <w:sz w:val="24"/>
          <w:highlight w:val="none"/>
        </w:rPr>
      </w:pPr>
      <w:r>
        <w:rPr>
          <w:rFonts w:hint="eastAsia" w:ascii="仿宋" w:hAnsi="仿宋" w:eastAsia="仿宋" w:cs="仿宋"/>
          <w:snapToGrid w:val="0"/>
          <w:color w:val="000000"/>
          <w:kern w:val="0"/>
          <w:sz w:val="24"/>
          <w:highlight w:val="none"/>
        </w:rPr>
        <w:t>工程</w:t>
      </w:r>
      <w:r>
        <w:rPr>
          <w:rFonts w:hint="eastAsia" w:ascii="仿宋" w:hAnsi="仿宋" w:eastAsia="仿宋" w:cs="仿宋"/>
          <w:color w:val="000000"/>
          <w:sz w:val="24"/>
          <w:highlight w:val="none"/>
          <w:lang w:val="en-US" w:eastAsia="zh-CN"/>
        </w:rPr>
        <w:t>采购</w:t>
      </w:r>
      <w:r>
        <w:rPr>
          <w:rFonts w:hint="eastAsia" w:ascii="仿宋" w:hAnsi="仿宋" w:eastAsia="仿宋" w:cs="仿宋"/>
          <w:color w:val="000000"/>
          <w:sz w:val="24"/>
          <w:highlight w:val="none"/>
        </w:rPr>
        <w:t>人：</w:t>
      </w:r>
      <w:r>
        <w:rPr>
          <w:rFonts w:hint="eastAsia" w:ascii="仿宋" w:hAnsi="仿宋" w:eastAsia="仿宋" w:cs="仿宋"/>
          <w:color w:val="000000"/>
          <w:sz w:val="24"/>
          <w:highlight w:val="none"/>
          <w:u w:val="single"/>
        </w:rPr>
        <w:t xml:space="preserve"> 四川中彩源建设工程有限公司       </w:t>
      </w:r>
      <w:r>
        <w:rPr>
          <w:rFonts w:hint="eastAsia" w:ascii="仿宋" w:hAnsi="仿宋" w:eastAsia="仿宋" w:cs="仿宋"/>
          <w:color w:val="000000"/>
          <w:sz w:val="24"/>
          <w:highlight w:val="none"/>
        </w:rPr>
        <w:t xml:space="preserve">（以下简称甲方）                                               </w:t>
      </w:r>
    </w:p>
    <w:p w14:paraId="1C8E84F1">
      <w:pPr>
        <w:tabs>
          <w:tab w:val="left" w:pos="567"/>
        </w:tabs>
        <w:spacing w:line="5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供应商：</w:t>
      </w:r>
      <w:r>
        <w:rPr>
          <w:rFonts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（以下简称乙方）</w:t>
      </w:r>
      <w:r>
        <w:rPr>
          <w:rFonts w:ascii="仿宋" w:hAnsi="仿宋" w:eastAsia="仿宋" w:cs="仿宋"/>
          <w:color w:val="000000"/>
          <w:sz w:val="24"/>
          <w:highlight w:val="none"/>
        </w:rPr>
        <w:t xml:space="preserve">                                                                           </w:t>
      </w:r>
    </w:p>
    <w:p w14:paraId="067633DE">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依照《中华人民共和国民法典》及其它有关法律、行政法规，甲、乙双方遵循平等、自愿、公平、诚信和互利的原则，经充分协商</w:t>
      </w:r>
      <w:r>
        <w:rPr>
          <w:rFonts w:ascii="仿宋" w:hAnsi="仿宋" w:eastAsia="仿宋" w:cs="仿宋"/>
          <w:bCs/>
          <w:color w:val="000000"/>
          <w:sz w:val="24"/>
          <w:highlight w:val="none"/>
        </w:rPr>
        <w:t>,就甲方</w:t>
      </w:r>
      <w:r>
        <w:rPr>
          <w:rFonts w:hint="eastAsia" w:ascii="仿宋" w:hAnsi="仿宋" w:eastAsia="仿宋" w:cs="仿宋"/>
          <w:bCs/>
          <w:color w:val="000000"/>
          <w:sz w:val="24"/>
          <w:highlight w:val="none"/>
          <w:u w:val="single"/>
          <w:lang w:val="en-US" w:eastAsia="zh-CN"/>
        </w:rPr>
        <w:t xml:space="preserve">    XX项目    </w:t>
      </w:r>
      <w:r>
        <w:rPr>
          <w:rFonts w:hint="eastAsia" w:ascii="仿宋" w:hAnsi="仿宋" w:eastAsia="仿宋" w:cs="仿宋"/>
          <w:bCs/>
          <w:color w:val="000000"/>
          <w:sz w:val="24"/>
          <w:highlight w:val="none"/>
        </w:rPr>
        <w:t>所需</w:t>
      </w:r>
      <w:r>
        <w:rPr>
          <w:rFonts w:ascii="仿宋" w:hAnsi="仿宋" w:eastAsia="仿宋" w:cs="仿宋"/>
          <w:bCs/>
          <w:color w:val="000000"/>
          <w:sz w:val="24"/>
          <w:highlight w:val="none"/>
          <w:u w:val="single"/>
        </w:rPr>
        <w:t xml:space="preserve"> </w:t>
      </w:r>
      <w:r>
        <w:rPr>
          <w:rFonts w:hint="eastAsia" w:ascii="仿宋" w:hAnsi="仿宋" w:eastAsia="仿宋" w:cs="仿宋"/>
          <w:bCs/>
          <w:color w:val="000000"/>
          <w:sz w:val="24"/>
          <w:highlight w:val="none"/>
          <w:u w:val="single"/>
          <w:lang w:val="en-US" w:eastAsia="zh-CN"/>
        </w:rPr>
        <w:t>材料</w:t>
      </w:r>
      <w:r>
        <w:rPr>
          <w:rFonts w:ascii="仿宋" w:hAnsi="仿宋" w:eastAsia="仿宋" w:cs="仿宋"/>
          <w:bCs/>
          <w:color w:val="000000"/>
          <w:sz w:val="24"/>
          <w:highlight w:val="none"/>
          <w:u w:val="single"/>
        </w:rPr>
        <w:t xml:space="preserve"> </w:t>
      </w:r>
      <w:r>
        <w:rPr>
          <w:rFonts w:hint="eastAsia" w:ascii="仿宋" w:hAnsi="仿宋" w:eastAsia="仿宋" w:cs="仿宋"/>
          <w:bCs/>
          <w:color w:val="000000"/>
          <w:sz w:val="24"/>
          <w:highlight w:val="none"/>
        </w:rPr>
        <w:t>的采购事宜，签订本合同，以资共同信守执行。</w:t>
      </w:r>
    </w:p>
    <w:p w14:paraId="0F569AC7">
      <w:pPr>
        <w:numPr>
          <w:ilvl w:val="0"/>
          <w:numId w:val="1"/>
        </w:numPr>
        <w:tabs>
          <w:tab w:val="left" w:pos="567"/>
        </w:tabs>
        <w:adjustRightInd w:val="0"/>
        <w:snapToGrid w:val="0"/>
        <w:spacing w:line="560" w:lineRule="exact"/>
        <w:ind w:firstLine="472" w:firstLineChars="196"/>
        <w:rPr>
          <w:rFonts w:ascii="仿宋" w:hAnsi="仿宋" w:eastAsia="仿宋" w:cs="仿宋"/>
          <w:b/>
          <w:color w:val="000000"/>
          <w:sz w:val="24"/>
          <w:highlight w:val="none"/>
        </w:rPr>
      </w:pPr>
      <w:r>
        <w:rPr>
          <w:rFonts w:hint="eastAsia" w:ascii="仿宋" w:hAnsi="仿宋" w:eastAsia="仿宋" w:cs="仿宋"/>
          <w:b/>
          <w:color w:val="000000"/>
          <w:sz w:val="24"/>
          <w:highlight w:val="none"/>
        </w:rPr>
        <w:t>货物及数量</w:t>
      </w:r>
    </w:p>
    <w:p w14:paraId="0B7EA297">
      <w:pPr>
        <w:numPr>
          <w:ilvl w:val="0"/>
          <w:numId w:val="2"/>
        </w:numPr>
        <w:tabs>
          <w:tab w:val="left" w:pos="567"/>
        </w:tabs>
        <w:adjustRightInd w:val="0"/>
        <w:snapToGrid w:val="0"/>
        <w:spacing w:line="560" w:lineRule="exact"/>
        <w:ind w:left="360" w:firstLine="480" w:firstLineChars="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货物的名称、数量、规格、生产厂家等详见下表。</w:t>
      </w:r>
    </w:p>
    <w:tbl>
      <w:tblPr>
        <w:tblStyle w:val="8"/>
        <w:tblW w:w="97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0"/>
        <w:gridCol w:w="870"/>
        <w:gridCol w:w="3108"/>
        <w:gridCol w:w="1090"/>
        <w:gridCol w:w="982"/>
        <w:gridCol w:w="1187"/>
        <w:gridCol w:w="1263"/>
        <w:gridCol w:w="561"/>
      </w:tblGrid>
      <w:tr w14:paraId="2A38D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jc w:val="center"/>
        </w:trPr>
        <w:tc>
          <w:tcPr>
            <w:tcW w:w="9701" w:type="dxa"/>
            <w:gridSpan w:val="8"/>
            <w:tcBorders>
              <w:top w:val="single" w:color="000000" w:sz="8" w:space="0"/>
              <w:left w:val="single" w:color="000000" w:sz="8" w:space="0"/>
              <w:bottom w:val="single" w:color="000000" w:sz="8" w:space="0"/>
              <w:right w:val="single" w:color="000000" w:sz="8" w:space="0"/>
            </w:tcBorders>
            <w:shd w:val="clear" w:color="auto" w:fill="auto"/>
            <w:vAlign w:val="center"/>
          </w:tcPr>
          <w:p w14:paraId="7620B2B3">
            <w:pPr>
              <w:keepNext w:val="0"/>
              <w:keepLines w:val="0"/>
              <w:widowControl/>
              <w:suppressLineNumbers w:val="0"/>
              <w:ind w:firstLineChars="100"/>
              <w:jc w:val="center"/>
              <w:textAlignment w:val="top"/>
              <w:rPr>
                <w:rFonts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报价清单表</w:t>
            </w:r>
          </w:p>
        </w:tc>
      </w:tr>
      <w:tr w14:paraId="58BFF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40" w:type="dxa"/>
            <w:tcBorders>
              <w:top w:val="nil"/>
              <w:left w:val="single" w:color="000000" w:sz="8" w:space="0"/>
              <w:bottom w:val="single" w:color="000000" w:sz="8" w:space="0"/>
              <w:right w:val="single" w:color="000000" w:sz="8" w:space="0"/>
            </w:tcBorders>
            <w:shd w:val="clear" w:color="auto" w:fill="auto"/>
            <w:vAlign w:val="center"/>
          </w:tcPr>
          <w:p w14:paraId="31694E0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序号</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6FC40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名称</w:t>
            </w:r>
          </w:p>
        </w:tc>
        <w:tc>
          <w:tcPr>
            <w:tcW w:w="310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1BE702">
            <w:pPr>
              <w:keepNext w:val="0"/>
              <w:keepLines w:val="0"/>
              <w:pageBreakBefore w:val="0"/>
              <w:widowControl/>
              <w:suppressLineNumbers w:val="0"/>
              <w:kinsoku/>
              <w:wordWrap/>
              <w:overflowPunct/>
              <w:topLinePunct w:val="0"/>
              <w:autoSpaceDE/>
              <w:autoSpaceDN/>
              <w:bidi w:val="0"/>
              <w:adjustRightInd/>
              <w:snapToGrid/>
              <w:ind w:firstLineChars="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材质</w:t>
            </w:r>
            <w:r>
              <w:rPr>
                <w:rFonts w:hint="default" w:ascii="Times New Roman" w:hAnsi="Times New Roman" w:eastAsia="仿宋_GB2312" w:cs="Times New Roman"/>
                <w:i w:val="0"/>
                <w:iCs w:val="0"/>
                <w:color w:val="000000"/>
                <w:kern w:val="0"/>
                <w:sz w:val="21"/>
                <w:szCs w:val="21"/>
                <w:u w:val="none"/>
                <w:lang w:val="en-US" w:eastAsia="zh-CN" w:bidi="ar"/>
              </w:rPr>
              <w:t>/</w:t>
            </w:r>
            <w:r>
              <w:rPr>
                <w:rStyle w:val="10"/>
                <w:rFonts w:hAnsi="宋体"/>
                <w:lang w:val="en-US" w:eastAsia="zh-CN" w:bidi="ar"/>
              </w:rPr>
              <w:t>颜色</w:t>
            </w:r>
            <w:r>
              <w:rPr>
                <w:rFonts w:hint="default" w:ascii="Times New Roman" w:hAnsi="Times New Roman" w:eastAsia="仿宋_GB2312" w:cs="Times New Roman"/>
                <w:i w:val="0"/>
                <w:iCs w:val="0"/>
                <w:color w:val="000000"/>
                <w:kern w:val="0"/>
                <w:sz w:val="21"/>
                <w:szCs w:val="21"/>
                <w:u w:val="none"/>
                <w:lang w:val="en-US" w:eastAsia="zh-CN" w:bidi="ar"/>
              </w:rPr>
              <w:t>/</w:t>
            </w:r>
            <w:r>
              <w:rPr>
                <w:rStyle w:val="10"/>
                <w:rFonts w:hAnsi="宋体"/>
                <w:lang w:val="en-US" w:eastAsia="zh-CN" w:bidi="ar"/>
              </w:rPr>
              <w:t>规格型号</w:t>
            </w:r>
          </w:p>
        </w:tc>
        <w:tc>
          <w:tcPr>
            <w:tcW w:w="10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27DA7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数量</w:t>
            </w:r>
          </w:p>
        </w:tc>
        <w:tc>
          <w:tcPr>
            <w:tcW w:w="9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83082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税率</w:t>
            </w:r>
          </w:p>
        </w:tc>
        <w:tc>
          <w:tcPr>
            <w:tcW w:w="11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5F2D0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含税单价（元）</w:t>
            </w:r>
          </w:p>
        </w:tc>
        <w:tc>
          <w:tcPr>
            <w:tcW w:w="12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2D8F3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含税总价</w:t>
            </w:r>
          </w:p>
          <w:p w14:paraId="7BF060D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（元）</w:t>
            </w:r>
          </w:p>
        </w:tc>
        <w:tc>
          <w:tcPr>
            <w:tcW w:w="5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D3428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备注</w:t>
            </w:r>
          </w:p>
        </w:tc>
      </w:tr>
      <w:tr w14:paraId="07288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9" w:hRule="atLeast"/>
          <w:jc w:val="center"/>
        </w:trPr>
        <w:tc>
          <w:tcPr>
            <w:tcW w:w="640" w:type="dxa"/>
            <w:tcBorders>
              <w:top w:val="nil"/>
              <w:left w:val="single" w:color="000000" w:sz="8" w:space="0"/>
              <w:bottom w:val="single" w:color="000000" w:sz="8" w:space="0"/>
              <w:right w:val="single" w:color="000000" w:sz="8" w:space="0"/>
            </w:tcBorders>
            <w:shd w:val="clear" w:color="auto" w:fill="auto"/>
            <w:vAlign w:val="center"/>
          </w:tcPr>
          <w:p w14:paraId="4B6D1A6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870" w:type="dxa"/>
            <w:tcBorders>
              <w:top w:val="nil"/>
              <w:left w:val="single" w:color="000000" w:sz="8" w:space="0"/>
              <w:bottom w:val="single" w:color="000000" w:sz="8" w:space="0"/>
              <w:right w:val="single" w:color="000000" w:sz="8" w:space="0"/>
            </w:tcBorders>
            <w:shd w:val="clear" w:color="auto" w:fill="auto"/>
            <w:vAlign w:val="center"/>
          </w:tcPr>
          <w:p w14:paraId="369CC1E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成品岗亭</w:t>
            </w:r>
          </w:p>
        </w:tc>
        <w:tc>
          <w:tcPr>
            <w:tcW w:w="3108" w:type="dxa"/>
            <w:tcBorders>
              <w:top w:val="nil"/>
              <w:left w:val="single" w:color="000000" w:sz="8" w:space="0"/>
              <w:bottom w:val="single" w:color="000000" w:sz="8" w:space="0"/>
              <w:right w:val="single" w:color="000000" w:sz="8" w:space="0"/>
            </w:tcBorders>
            <w:shd w:val="clear" w:color="auto" w:fill="auto"/>
            <w:vAlign w:val="top"/>
          </w:tcPr>
          <w:p w14:paraId="495220D2">
            <w:pPr>
              <w:keepNext w:val="0"/>
              <w:keepLines w:val="0"/>
              <w:pageBreakBefore w:val="0"/>
              <w:widowControl/>
              <w:suppressLineNumbers w:val="0"/>
              <w:kinsoku/>
              <w:wordWrap/>
              <w:overflowPunct/>
              <w:topLinePunct w:val="0"/>
              <w:autoSpaceDE/>
              <w:autoSpaceDN/>
              <w:bidi w:val="0"/>
              <w:adjustRightInd/>
              <w:snapToGrid/>
              <w:ind w:firstLineChars="0"/>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r>
              <w:rPr>
                <w:rStyle w:val="10"/>
                <w:rFonts w:hAnsi="Times New Roman"/>
                <w:lang w:val="en-US" w:eastAsia="zh-CN" w:bidi="ar"/>
              </w:rPr>
              <w:t>镀锌钢板包集成墙板，镀锌钢表面刷真石漆、单层钢化玻璃；</w:t>
            </w:r>
          </w:p>
          <w:p w14:paraId="7DEBA6BE">
            <w:pPr>
              <w:keepNext w:val="0"/>
              <w:keepLines w:val="0"/>
              <w:pageBreakBefore w:val="0"/>
              <w:widowControl/>
              <w:suppressLineNumbers w:val="0"/>
              <w:kinsoku/>
              <w:wordWrap/>
              <w:overflowPunct/>
              <w:topLinePunct w:val="0"/>
              <w:autoSpaceDE/>
              <w:autoSpaceDN/>
              <w:bidi w:val="0"/>
              <w:adjustRightInd/>
              <w:snapToGrid/>
              <w:ind w:firstLineChars="0"/>
              <w:jc w:val="left"/>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r>
              <w:rPr>
                <w:rStyle w:val="10"/>
                <w:rFonts w:hAnsi="Times New Roman"/>
                <w:lang w:val="en-US" w:eastAsia="zh-CN" w:bidi="ar"/>
              </w:rPr>
              <w:t>尺寸：</w:t>
            </w:r>
            <w:r>
              <w:rPr>
                <w:rFonts w:hint="default" w:ascii="Times New Roman" w:hAnsi="Times New Roman" w:eastAsia="宋体" w:cs="Times New Roman"/>
                <w:i w:val="0"/>
                <w:iCs w:val="0"/>
                <w:color w:val="000000"/>
                <w:kern w:val="0"/>
                <w:sz w:val="21"/>
                <w:szCs w:val="21"/>
                <w:u w:val="none"/>
                <w:lang w:val="en-US" w:eastAsia="zh-CN" w:bidi="ar"/>
              </w:rPr>
              <w:t>2*2*2.8m</w:t>
            </w:r>
            <w:r>
              <w:rPr>
                <w:rStyle w:val="10"/>
                <w:rFonts w:hAnsi="Times New Roman"/>
                <w:lang w:val="en-US" w:eastAsia="zh-CN" w:bidi="ar"/>
              </w:rPr>
              <w:t>；</w:t>
            </w:r>
          </w:p>
          <w:p w14:paraId="33AB0880">
            <w:pPr>
              <w:keepNext w:val="0"/>
              <w:keepLines w:val="0"/>
              <w:pageBreakBefore w:val="0"/>
              <w:widowControl/>
              <w:suppressLineNumbers w:val="0"/>
              <w:kinsoku/>
              <w:wordWrap/>
              <w:overflowPunct/>
              <w:topLinePunct w:val="0"/>
              <w:autoSpaceDE/>
              <w:autoSpaceDN/>
              <w:bidi w:val="0"/>
              <w:adjustRightInd/>
              <w:snapToGrid/>
              <w:ind w:firstLineChars="0"/>
              <w:jc w:val="left"/>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r>
              <w:rPr>
                <w:rStyle w:val="10"/>
                <w:rFonts w:hAnsi="Times New Roman"/>
                <w:lang w:val="en-US" w:eastAsia="zh-CN" w:bidi="ar"/>
              </w:rPr>
              <w:t>不含室内配套设施，不含玻璃防爆膜、防晒膜、室外灯具；</w:t>
            </w:r>
          </w:p>
        </w:tc>
        <w:tc>
          <w:tcPr>
            <w:tcW w:w="1090" w:type="dxa"/>
            <w:tcBorders>
              <w:top w:val="nil"/>
              <w:left w:val="single" w:color="000000" w:sz="8" w:space="0"/>
              <w:bottom w:val="single" w:color="000000" w:sz="8" w:space="0"/>
              <w:right w:val="single" w:color="000000" w:sz="8" w:space="0"/>
            </w:tcBorders>
            <w:shd w:val="clear" w:color="auto" w:fill="auto"/>
            <w:vAlign w:val="center"/>
          </w:tcPr>
          <w:p w14:paraId="564505B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82" w:type="dxa"/>
            <w:tcBorders>
              <w:top w:val="nil"/>
              <w:left w:val="single" w:color="000000" w:sz="8" w:space="0"/>
              <w:bottom w:val="single" w:color="000000" w:sz="8" w:space="0"/>
              <w:right w:val="single" w:color="000000" w:sz="8" w:space="0"/>
            </w:tcBorders>
            <w:shd w:val="clear" w:color="auto" w:fill="auto"/>
            <w:vAlign w:val="center"/>
          </w:tcPr>
          <w:p w14:paraId="0748AE4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w:t>
            </w:r>
          </w:p>
        </w:tc>
        <w:tc>
          <w:tcPr>
            <w:tcW w:w="1187" w:type="dxa"/>
            <w:tcBorders>
              <w:top w:val="nil"/>
              <w:left w:val="single" w:color="000000" w:sz="8" w:space="0"/>
              <w:bottom w:val="single" w:color="000000" w:sz="8" w:space="0"/>
              <w:right w:val="single" w:color="000000" w:sz="8" w:space="0"/>
            </w:tcBorders>
            <w:shd w:val="clear" w:color="auto" w:fill="auto"/>
            <w:vAlign w:val="center"/>
          </w:tcPr>
          <w:p w14:paraId="1893D968">
            <w:pPr>
              <w:keepNext w:val="0"/>
              <w:keepLines w:val="0"/>
              <w:pageBreakBefore w:val="0"/>
              <w:widowControl/>
              <w:kinsoku/>
              <w:wordWrap/>
              <w:overflowPunct/>
              <w:topLinePunct w:val="0"/>
              <w:autoSpaceDE/>
              <w:autoSpaceDN/>
              <w:bidi w:val="0"/>
              <w:adjustRightInd/>
              <w:snapToGrid/>
              <w:ind w:firstLineChars="0"/>
              <w:jc w:val="center"/>
              <w:rPr>
                <w:rFonts w:hint="eastAsia" w:ascii="仿宋_GB2312" w:hAnsi="宋体" w:eastAsia="仿宋_GB2312" w:cs="仿宋_GB2312"/>
                <w:i w:val="0"/>
                <w:iCs w:val="0"/>
                <w:color w:val="000000"/>
                <w:sz w:val="21"/>
                <w:szCs w:val="21"/>
                <w:u w:val="none"/>
              </w:rPr>
            </w:pPr>
          </w:p>
        </w:tc>
        <w:tc>
          <w:tcPr>
            <w:tcW w:w="1263" w:type="dxa"/>
            <w:tcBorders>
              <w:top w:val="nil"/>
              <w:left w:val="single" w:color="000000" w:sz="8" w:space="0"/>
              <w:bottom w:val="single" w:color="000000" w:sz="8" w:space="0"/>
              <w:right w:val="single" w:color="000000" w:sz="8" w:space="0"/>
            </w:tcBorders>
            <w:shd w:val="clear" w:color="auto" w:fill="auto"/>
            <w:vAlign w:val="center"/>
          </w:tcPr>
          <w:p w14:paraId="1E8AC60D">
            <w:pPr>
              <w:keepNext w:val="0"/>
              <w:keepLines w:val="0"/>
              <w:pageBreakBefore w:val="0"/>
              <w:widowControl/>
              <w:kinsoku/>
              <w:wordWrap/>
              <w:overflowPunct/>
              <w:topLinePunct w:val="0"/>
              <w:autoSpaceDE/>
              <w:autoSpaceDN/>
              <w:bidi w:val="0"/>
              <w:adjustRightInd/>
              <w:snapToGrid/>
              <w:ind w:firstLineChars="0"/>
              <w:jc w:val="center"/>
              <w:rPr>
                <w:rFonts w:hint="eastAsia" w:ascii="仿宋_GB2312" w:hAnsi="宋体" w:eastAsia="仿宋_GB2312" w:cs="仿宋_GB2312"/>
                <w:i w:val="0"/>
                <w:iCs w:val="0"/>
                <w:color w:val="000000"/>
                <w:sz w:val="21"/>
                <w:szCs w:val="21"/>
                <w:u w:val="none"/>
              </w:rPr>
            </w:pPr>
          </w:p>
        </w:tc>
        <w:tc>
          <w:tcPr>
            <w:tcW w:w="561" w:type="dxa"/>
            <w:tcBorders>
              <w:top w:val="nil"/>
              <w:left w:val="single" w:color="000000" w:sz="8" w:space="0"/>
              <w:bottom w:val="single" w:color="000000" w:sz="8" w:space="0"/>
              <w:right w:val="single" w:color="000000" w:sz="8" w:space="0"/>
            </w:tcBorders>
            <w:shd w:val="clear" w:color="auto" w:fill="auto"/>
            <w:vAlign w:val="center"/>
          </w:tcPr>
          <w:p w14:paraId="36B2443A">
            <w:pPr>
              <w:keepNext w:val="0"/>
              <w:keepLines w:val="0"/>
              <w:pageBreakBefore w:val="0"/>
              <w:widowControl/>
              <w:kinsoku/>
              <w:wordWrap/>
              <w:overflowPunct/>
              <w:topLinePunct w:val="0"/>
              <w:autoSpaceDE/>
              <w:autoSpaceDN/>
              <w:bidi w:val="0"/>
              <w:adjustRightInd/>
              <w:snapToGrid/>
              <w:ind w:firstLineChars="0"/>
              <w:jc w:val="center"/>
              <w:rPr>
                <w:rFonts w:hint="eastAsia" w:ascii="仿宋_GB2312" w:hAnsi="宋体" w:eastAsia="仿宋_GB2312" w:cs="仿宋_GB2312"/>
                <w:i w:val="0"/>
                <w:iCs w:val="0"/>
                <w:color w:val="000000"/>
                <w:sz w:val="21"/>
                <w:szCs w:val="21"/>
                <w:u w:val="none"/>
              </w:rPr>
            </w:pPr>
          </w:p>
        </w:tc>
      </w:tr>
      <w:tr w14:paraId="0A1B8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5" w:hRule="atLeast"/>
          <w:jc w:val="center"/>
        </w:trPr>
        <w:tc>
          <w:tcPr>
            <w:tcW w:w="640" w:type="dxa"/>
            <w:tcBorders>
              <w:top w:val="nil"/>
              <w:left w:val="single" w:color="000000" w:sz="8" w:space="0"/>
              <w:bottom w:val="single" w:color="000000" w:sz="8" w:space="0"/>
              <w:right w:val="single" w:color="000000" w:sz="8" w:space="0"/>
            </w:tcBorders>
            <w:shd w:val="clear" w:color="auto" w:fill="auto"/>
            <w:vAlign w:val="center"/>
          </w:tcPr>
          <w:p w14:paraId="4E86A51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870" w:type="dxa"/>
            <w:tcBorders>
              <w:top w:val="nil"/>
              <w:left w:val="single" w:color="000000" w:sz="8" w:space="0"/>
              <w:bottom w:val="single" w:color="000000" w:sz="8" w:space="0"/>
              <w:right w:val="single" w:color="000000" w:sz="8" w:space="0"/>
            </w:tcBorders>
            <w:shd w:val="clear" w:color="auto" w:fill="auto"/>
            <w:vAlign w:val="center"/>
          </w:tcPr>
          <w:p w14:paraId="51EECAA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成品组合花箱</w:t>
            </w:r>
          </w:p>
        </w:tc>
        <w:tc>
          <w:tcPr>
            <w:tcW w:w="3108" w:type="dxa"/>
            <w:tcBorders>
              <w:top w:val="nil"/>
              <w:left w:val="single" w:color="000000" w:sz="8" w:space="0"/>
              <w:bottom w:val="single" w:color="000000" w:sz="8" w:space="0"/>
              <w:right w:val="single" w:color="000000" w:sz="8" w:space="0"/>
            </w:tcBorders>
            <w:shd w:val="clear" w:color="auto" w:fill="auto"/>
            <w:vAlign w:val="top"/>
          </w:tcPr>
          <w:p w14:paraId="3F8F28E1">
            <w:pPr>
              <w:keepNext w:val="0"/>
              <w:keepLines w:val="0"/>
              <w:pageBreakBefore w:val="0"/>
              <w:widowControl/>
              <w:suppressLineNumbers w:val="0"/>
              <w:kinsoku/>
              <w:wordWrap/>
              <w:overflowPunct/>
              <w:topLinePunct w:val="0"/>
              <w:autoSpaceDE/>
              <w:autoSpaceDN/>
              <w:bidi w:val="0"/>
              <w:adjustRightInd/>
              <w:snapToGrid/>
              <w:ind w:firstLineChars="0"/>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r>
              <w:rPr>
                <w:rStyle w:val="10"/>
                <w:rFonts w:hAnsi="Times New Roman"/>
                <w:lang w:val="en-US" w:eastAsia="zh-CN" w:bidi="ar"/>
              </w:rPr>
              <w:t>材质</w:t>
            </w:r>
            <w:r>
              <w:rPr>
                <w:rFonts w:hint="default" w:ascii="Times New Roman" w:hAnsi="Times New Roman" w:eastAsia="宋体" w:cs="Times New Roman"/>
                <w:i w:val="0"/>
                <w:iCs w:val="0"/>
                <w:color w:val="000000"/>
                <w:kern w:val="0"/>
                <w:sz w:val="21"/>
                <w:szCs w:val="21"/>
                <w:u w:val="none"/>
                <w:lang w:val="en-US" w:eastAsia="zh-CN" w:bidi="ar"/>
              </w:rPr>
              <w:t>:</w:t>
            </w:r>
            <w:r>
              <w:rPr>
                <w:rStyle w:val="10"/>
                <w:rFonts w:hAnsi="Times New Roman"/>
                <w:lang w:val="en-US" w:eastAsia="zh-CN" w:bidi="ar"/>
              </w:rPr>
              <w:t>不锈钢；</w:t>
            </w:r>
          </w:p>
          <w:p w14:paraId="1E6DC959">
            <w:pPr>
              <w:keepNext w:val="0"/>
              <w:keepLines w:val="0"/>
              <w:pageBreakBefore w:val="0"/>
              <w:widowControl/>
              <w:suppressLineNumbers w:val="0"/>
              <w:kinsoku/>
              <w:wordWrap/>
              <w:overflowPunct/>
              <w:topLinePunct w:val="0"/>
              <w:autoSpaceDE/>
              <w:autoSpaceDN/>
              <w:bidi w:val="0"/>
              <w:adjustRightInd/>
              <w:snapToGrid/>
              <w:ind w:firstLineChars="0"/>
              <w:jc w:val="left"/>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r>
              <w:rPr>
                <w:rStyle w:val="10"/>
                <w:rFonts w:hAnsi="Times New Roman"/>
                <w:lang w:val="en-US" w:eastAsia="zh-CN" w:bidi="ar"/>
              </w:rPr>
              <w:t>尺寸</w:t>
            </w:r>
            <w:r>
              <w:rPr>
                <w:rFonts w:hint="default" w:ascii="Times New Roman" w:hAnsi="Times New Roman" w:eastAsia="宋体" w:cs="Times New Roman"/>
                <w:i w:val="0"/>
                <w:iCs w:val="0"/>
                <w:color w:val="000000"/>
                <w:kern w:val="0"/>
                <w:sz w:val="21"/>
                <w:szCs w:val="21"/>
                <w:u w:val="none"/>
                <w:lang w:val="en-US" w:eastAsia="zh-CN" w:bidi="ar"/>
              </w:rPr>
              <w:t>:</w:t>
            </w:r>
            <w:r>
              <w:rPr>
                <w:rStyle w:val="10"/>
                <w:rFonts w:hAnsi="Times New Roman"/>
                <w:lang w:val="en-US" w:eastAsia="zh-CN" w:bidi="ar"/>
              </w:rPr>
              <w:t>每组</w:t>
            </w:r>
            <w:r>
              <w:rPr>
                <w:rFonts w:hint="default" w:ascii="Times New Roman" w:hAnsi="Times New Roman" w:eastAsia="宋体" w:cs="Times New Roman"/>
                <w:i w:val="0"/>
                <w:iCs w:val="0"/>
                <w:color w:val="000000"/>
                <w:kern w:val="0"/>
                <w:sz w:val="21"/>
                <w:szCs w:val="21"/>
                <w:u w:val="none"/>
                <w:lang w:val="en-US" w:eastAsia="zh-CN" w:bidi="ar"/>
              </w:rPr>
              <w:t>1</w:t>
            </w:r>
            <w:r>
              <w:rPr>
                <w:rStyle w:val="10"/>
                <w:rFonts w:hAnsi="Times New Roman"/>
                <w:lang w:val="en-US" w:eastAsia="zh-CN" w:bidi="ar"/>
              </w:rPr>
              <w:t>个</w:t>
            </w:r>
            <w:r>
              <w:rPr>
                <w:rFonts w:hint="default" w:ascii="Times New Roman" w:hAnsi="Times New Roman" w:eastAsia="宋体" w:cs="Times New Roman"/>
                <w:i w:val="0"/>
                <w:iCs w:val="0"/>
                <w:color w:val="000000"/>
                <w:kern w:val="0"/>
                <w:sz w:val="21"/>
                <w:szCs w:val="21"/>
                <w:u w:val="none"/>
                <w:lang w:val="en-US" w:eastAsia="zh-CN" w:bidi="ar"/>
              </w:rPr>
              <w:t>,</w:t>
            </w:r>
            <w:r>
              <w:rPr>
                <w:rStyle w:val="10"/>
                <w:rFonts w:hAnsi="Times New Roman"/>
                <w:lang w:val="en-US" w:eastAsia="zh-CN" w:bidi="ar"/>
              </w:rPr>
              <w:t>长</w:t>
            </w:r>
            <w:r>
              <w:rPr>
                <w:rFonts w:hint="default" w:ascii="Times New Roman" w:hAnsi="Times New Roman" w:eastAsia="宋体" w:cs="Times New Roman"/>
                <w:i w:val="0"/>
                <w:iCs w:val="0"/>
                <w:color w:val="000000"/>
                <w:kern w:val="0"/>
                <w:sz w:val="21"/>
                <w:szCs w:val="21"/>
                <w:u w:val="none"/>
                <w:lang w:val="en-US" w:eastAsia="zh-CN" w:bidi="ar"/>
              </w:rPr>
              <w:t>1.14m</w:t>
            </w:r>
            <w:r>
              <w:rPr>
                <w:rStyle w:val="10"/>
                <w:rFonts w:hAnsi="Times New Roman"/>
                <w:lang w:val="en-US" w:eastAsia="zh-CN" w:bidi="ar"/>
              </w:rPr>
              <w:t>，宽</w:t>
            </w:r>
            <w:r>
              <w:rPr>
                <w:rFonts w:hint="default" w:ascii="Times New Roman" w:hAnsi="Times New Roman" w:eastAsia="宋体" w:cs="Times New Roman"/>
                <w:i w:val="0"/>
                <w:iCs w:val="0"/>
                <w:color w:val="000000"/>
                <w:kern w:val="0"/>
                <w:sz w:val="21"/>
                <w:szCs w:val="21"/>
                <w:u w:val="none"/>
                <w:lang w:val="en-US" w:eastAsia="zh-CN" w:bidi="ar"/>
              </w:rPr>
              <w:t>0.6m,</w:t>
            </w:r>
            <w:r>
              <w:rPr>
                <w:rStyle w:val="10"/>
                <w:rFonts w:hAnsi="Times New Roman"/>
                <w:lang w:val="en-US" w:eastAsia="zh-CN" w:bidi="ar"/>
              </w:rPr>
              <w:t xml:space="preserve">高 </w:t>
            </w:r>
            <w:r>
              <w:rPr>
                <w:rFonts w:hint="default" w:ascii="Times New Roman" w:hAnsi="Times New Roman" w:eastAsia="宋体" w:cs="Times New Roman"/>
                <w:i w:val="0"/>
                <w:iCs w:val="0"/>
                <w:color w:val="000000"/>
                <w:kern w:val="0"/>
                <w:sz w:val="21"/>
                <w:szCs w:val="21"/>
                <w:u w:val="none"/>
                <w:lang w:val="en-US" w:eastAsia="zh-CN" w:bidi="ar"/>
              </w:rPr>
              <w:t>0.9m</w:t>
            </w:r>
            <w:r>
              <w:rPr>
                <w:rStyle w:val="10"/>
                <w:rFonts w:hAnsi="Times New Roman"/>
                <w:lang w:val="en-US" w:eastAsia="zh-CN" w:bidi="ar"/>
              </w:rPr>
              <w:t>；</w:t>
            </w:r>
          </w:p>
          <w:p w14:paraId="4091EF9A">
            <w:pPr>
              <w:keepNext w:val="0"/>
              <w:keepLines w:val="0"/>
              <w:pageBreakBefore w:val="0"/>
              <w:widowControl/>
              <w:suppressLineNumbers w:val="0"/>
              <w:kinsoku/>
              <w:wordWrap/>
              <w:overflowPunct/>
              <w:topLinePunct w:val="0"/>
              <w:autoSpaceDE/>
              <w:autoSpaceDN/>
              <w:bidi w:val="0"/>
              <w:adjustRightInd/>
              <w:snapToGrid/>
              <w:ind w:firstLineChars="0"/>
              <w:jc w:val="left"/>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r>
              <w:rPr>
                <w:rStyle w:val="10"/>
                <w:rFonts w:hAnsi="Times New Roman"/>
                <w:lang w:val="en-US" w:eastAsia="zh-CN" w:bidi="ar"/>
              </w:rPr>
              <w:t>颜色</w:t>
            </w:r>
            <w:r>
              <w:rPr>
                <w:rFonts w:hint="default" w:ascii="Times New Roman" w:hAnsi="Times New Roman" w:eastAsia="宋体" w:cs="Times New Roman"/>
                <w:i w:val="0"/>
                <w:iCs w:val="0"/>
                <w:color w:val="000000"/>
                <w:kern w:val="0"/>
                <w:sz w:val="21"/>
                <w:szCs w:val="21"/>
                <w:u w:val="none"/>
                <w:lang w:val="en-US" w:eastAsia="zh-CN" w:bidi="ar"/>
              </w:rPr>
              <w:t>:</w:t>
            </w:r>
            <w:r>
              <w:rPr>
                <w:rStyle w:val="10"/>
                <w:rFonts w:hAnsi="Times New Roman"/>
                <w:lang w:val="en-US" w:eastAsia="zh-CN" w:bidi="ar"/>
              </w:rPr>
              <w:t xml:space="preserve">深咖色，种植深度 </w:t>
            </w:r>
            <w:r>
              <w:rPr>
                <w:rFonts w:hint="default" w:ascii="Times New Roman" w:hAnsi="Times New Roman" w:eastAsia="宋体" w:cs="Times New Roman"/>
                <w:i w:val="0"/>
                <w:iCs w:val="0"/>
                <w:color w:val="000000"/>
                <w:kern w:val="0"/>
                <w:sz w:val="21"/>
                <w:szCs w:val="21"/>
                <w:u w:val="none"/>
                <w:lang w:val="en-US" w:eastAsia="zh-CN" w:bidi="ar"/>
              </w:rPr>
              <w:t>25-30</w:t>
            </w:r>
            <w:r>
              <w:rPr>
                <w:rStyle w:val="10"/>
                <w:rFonts w:hAnsi="Times New Roman"/>
                <w:lang w:val="en-US" w:eastAsia="zh-CN" w:bidi="ar"/>
              </w:rPr>
              <w:t>厘米左右；</w:t>
            </w:r>
          </w:p>
        </w:tc>
        <w:tc>
          <w:tcPr>
            <w:tcW w:w="1090" w:type="dxa"/>
            <w:tcBorders>
              <w:top w:val="nil"/>
              <w:left w:val="single" w:color="000000" w:sz="8" w:space="0"/>
              <w:bottom w:val="single" w:color="000000" w:sz="8" w:space="0"/>
              <w:right w:val="single" w:color="000000" w:sz="8" w:space="0"/>
            </w:tcBorders>
            <w:shd w:val="clear" w:color="auto" w:fill="auto"/>
            <w:vAlign w:val="center"/>
          </w:tcPr>
          <w:p w14:paraId="190CEC6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982" w:type="dxa"/>
            <w:tcBorders>
              <w:top w:val="nil"/>
              <w:left w:val="single" w:color="000000" w:sz="8" w:space="0"/>
              <w:bottom w:val="single" w:color="000000" w:sz="8" w:space="0"/>
              <w:right w:val="single" w:color="000000" w:sz="8" w:space="0"/>
            </w:tcBorders>
            <w:shd w:val="clear" w:color="auto" w:fill="auto"/>
            <w:vAlign w:val="center"/>
          </w:tcPr>
          <w:p w14:paraId="6790C1F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w:t>
            </w:r>
          </w:p>
        </w:tc>
        <w:tc>
          <w:tcPr>
            <w:tcW w:w="1187" w:type="dxa"/>
            <w:tcBorders>
              <w:top w:val="nil"/>
              <w:left w:val="single" w:color="000000" w:sz="8" w:space="0"/>
              <w:bottom w:val="single" w:color="000000" w:sz="8" w:space="0"/>
              <w:right w:val="single" w:color="000000" w:sz="8" w:space="0"/>
            </w:tcBorders>
            <w:shd w:val="clear" w:color="auto" w:fill="auto"/>
            <w:vAlign w:val="center"/>
          </w:tcPr>
          <w:p w14:paraId="480E2586">
            <w:pPr>
              <w:keepNext w:val="0"/>
              <w:keepLines w:val="0"/>
              <w:pageBreakBefore w:val="0"/>
              <w:widowControl/>
              <w:kinsoku/>
              <w:wordWrap/>
              <w:overflowPunct/>
              <w:topLinePunct w:val="0"/>
              <w:autoSpaceDE/>
              <w:autoSpaceDN/>
              <w:bidi w:val="0"/>
              <w:adjustRightInd/>
              <w:snapToGrid/>
              <w:ind w:firstLineChars="0"/>
              <w:jc w:val="center"/>
              <w:rPr>
                <w:rFonts w:hint="eastAsia" w:ascii="仿宋_GB2312" w:hAnsi="宋体" w:eastAsia="仿宋_GB2312" w:cs="仿宋_GB2312"/>
                <w:i w:val="0"/>
                <w:iCs w:val="0"/>
                <w:color w:val="000000"/>
                <w:sz w:val="21"/>
                <w:szCs w:val="21"/>
                <w:u w:val="none"/>
              </w:rPr>
            </w:pPr>
          </w:p>
        </w:tc>
        <w:tc>
          <w:tcPr>
            <w:tcW w:w="1263" w:type="dxa"/>
            <w:tcBorders>
              <w:top w:val="nil"/>
              <w:left w:val="single" w:color="000000" w:sz="8" w:space="0"/>
              <w:bottom w:val="single" w:color="000000" w:sz="8" w:space="0"/>
              <w:right w:val="single" w:color="000000" w:sz="8" w:space="0"/>
            </w:tcBorders>
            <w:shd w:val="clear" w:color="auto" w:fill="auto"/>
            <w:vAlign w:val="center"/>
          </w:tcPr>
          <w:p w14:paraId="7DEA525C">
            <w:pPr>
              <w:keepNext w:val="0"/>
              <w:keepLines w:val="0"/>
              <w:pageBreakBefore w:val="0"/>
              <w:widowControl/>
              <w:kinsoku/>
              <w:wordWrap/>
              <w:overflowPunct/>
              <w:topLinePunct w:val="0"/>
              <w:autoSpaceDE/>
              <w:autoSpaceDN/>
              <w:bidi w:val="0"/>
              <w:adjustRightInd/>
              <w:snapToGrid/>
              <w:ind w:firstLineChars="0"/>
              <w:jc w:val="center"/>
              <w:rPr>
                <w:rFonts w:hint="eastAsia" w:ascii="仿宋_GB2312" w:hAnsi="宋体" w:eastAsia="仿宋_GB2312" w:cs="仿宋_GB2312"/>
                <w:i w:val="0"/>
                <w:iCs w:val="0"/>
                <w:color w:val="000000"/>
                <w:sz w:val="21"/>
                <w:szCs w:val="21"/>
                <w:u w:val="none"/>
              </w:rPr>
            </w:pPr>
          </w:p>
        </w:tc>
        <w:tc>
          <w:tcPr>
            <w:tcW w:w="561" w:type="dxa"/>
            <w:tcBorders>
              <w:top w:val="nil"/>
              <w:left w:val="single" w:color="000000" w:sz="8" w:space="0"/>
              <w:bottom w:val="single" w:color="000000" w:sz="8" w:space="0"/>
              <w:right w:val="single" w:color="000000" w:sz="8" w:space="0"/>
            </w:tcBorders>
            <w:shd w:val="clear" w:color="auto" w:fill="auto"/>
            <w:vAlign w:val="center"/>
          </w:tcPr>
          <w:p w14:paraId="52736C01">
            <w:pPr>
              <w:keepNext w:val="0"/>
              <w:keepLines w:val="0"/>
              <w:pageBreakBefore w:val="0"/>
              <w:widowControl/>
              <w:kinsoku/>
              <w:wordWrap/>
              <w:overflowPunct/>
              <w:topLinePunct w:val="0"/>
              <w:autoSpaceDE/>
              <w:autoSpaceDN/>
              <w:bidi w:val="0"/>
              <w:adjustRightInd/>
              <w:snapToGrid/>
              <w:ind w:firstLineChars="0"/>
              <w:jc w:val="center"/>
              <w:rPr>
                <w:rFonts w:hint="default" w:ascii="Times New Roman" w:hAnsi="Times New Roman" w:eastAsia="宋体" w:cs="Times New Roman"/>
                <w:i w:val="0"/>
                <w:iCs w:val="0"/>
                <w:color w:val="000000"/>
                <w:sz w:val="21"/>
                <w:szCs w:val="21"/>
                <w:u w:val="none"/>
              </w:rPr>
            </w:pPr>
          </w:p>
        </w:tc>
      </w:tr>
      <w:tr w14:paraId="0197B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0" w:type="dxa"/>
            <w:tcBorders>
              <w:top w:val="nil"/>
              <w:left w:val="single" w:color="000000" w:sz="8" w:space="0"/>
              <w:bottom w:val="single" w:color="000000" w:sz="8" w:space="0"/>
              <w:right w:val="single" w:color="000000" w:sz="8" w:space="0"/>
            </w:tcBorders>
            <w:shd w:val="clear" w:color="auto" w:fill="auto"/>
            <w:vAlign w:val="center"/>
          </w:tcPr>
          <w:p w14:paraId="7668590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870" w:type="dxa"/>
            <w:tcBorders>
              <w:top w:val="nil"/>
              <w:left w:val="single" w:color="000000" w:sz="8" w:space="0"/>
              <w:bottom w:val="single" w:color="000000" w:sz="8" w:space="0"/>
              <w:right w:val="single" w:color="000000" w:sz="8" w:space="0"/>
            </w:tcBorders>
            <w:shd w:val="clear" w:color="auto" w:fill="auto"/>
            <w:vAlign w:val="center"/>
          </w:tcPr>
          <w:p w14:paraId="42DDEAC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成品室外太阳伞</w:t>
            </w:r>
          </w:p>
        </w:tc>
        <w:tc>
          <w:tcPr>
            <w:tcW w:w="3108" w:type="dxa"/>
            <w:tcBorders>
              <w:top w:val="nil"/>
              <w:left w:val="single" w:color="000000" w:sz="8" w:space="0"/>
              <w:bottom w:val="single" w:color="000000" w:sz="8" w:space="0"/>
              <w:right w:val="single" w:color="000000" w:sz="8" w:space="0"/>
            </w:tcBorders>
            <w:shd w:val="clear" w:color="auto" w:fill="auto"/>
            <w:vAlign w:val="top"/>
          </w:tcPr>
          <w:p w14:paraId="0781A4B2">
            <w:pPr>
              <w:keepNext w:val="0"/>
              <w:keepLines w:val="0"/>
              <w:pageBreakBefore w:val="0"/>
              <w:widowControl/>
              <w:suppressLineNumbers w:val="0"/>
              <w:kinsoku/>
              <w:wordWrap/>
              <w:overflowPunct/>
              <w:topLinePunct w:val="0"/>
              <w:autoSpaceDE/>
              <w:autoSpaceDN/>
              <w:bidi w:val="0"/>
              <w:adjustRightInd/>
              <w:snapToGrid/>
              <w:ind w:firstLineChars="0"/>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r>
              <w:rPr>
                <w:rStyle w:val="10"/>
                <w:rFonts w:hAnsi="Times New Roman"/>
                <w:lang w:val="en-US" w:eastAsia="zh-CN" w:bidi="ar"/>
              </w:rPr>
              <w:t>材质</w:t>
            </w:r>
            <w:r>
              <w:rPr>
                <w:rFonts w:hint="default" w:ascii="Times New Roman" w:hAnsi="Times New Roman" w:eastAsia="宋体" w:cs="Times New Roman"/>
                <w:i w:val="0"/>
                <w:iCs w:val="0"/>
                <w:color w:val="000000"/>
                <w:kern w:val="0"/>
                <w:sz w:val="21"/>
                <w:szCs w:val="21"/>
                <w:u w:val="none"/>
                <w:lang w:val="en-US" w:eastAsia="zh-CN" w:bidi="ar"/>
              </w:rPr>
              <w:t>:</w:t>
            </w:r>
            <w:r>
              <w:rPr>
                <w:rStyle w:val="10"/>
                <w:rFonts w:hAnsi="Times New Roman"/>
                <w:lang w:val="en-US" w:eastAsia="zh-CN" w:bidi="ar"/>
              </w:rPr>
              <w:t>金属；</w:t>
            </w:r>
          </w:p>
          <w:p w14:paraId="505B18CA">
            <w:pPr>
              <w:keepNext w:val="0"/>
              <w:keepLines w:val="0"/>
              <w:pageBreakBefore w:val="0"/>
              <w:widowControl/>
              <w:suppressLineNumbers w:val="0"/>
              <w:kinsoku/>
              <w:wordWrap/>
              <w:overflowPunct/>
              <w:topLinePunct w:val="0"/>
              <w:autoSpaceDE/>
              <w:autoSpaceDN/>
              <w:bidi w:val="0"/>
              <w:adjustRightInd/>
              <w:snapToGrid/>
              <w:ind w:firstLineChars="0"/>
              <w:jc w:val="left"/>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r>
              <w:rPr>
                <w:rStyle w:val="10"/>
                <w:rFonts w:hAnsi="Times New Roman"/>
                <w:lang w:val="en-US" w:eastAsia="zh-CN" w:bidi="ar"/>
              </w:rPr>
              <w:t>尺寸</w:t>
            </w:r>
            <w:r>
              <w:rPr>
                <w:rFonts w:hint="default" w:ascii="Times New Roman" w:hAnsi="Times New Roman" w:eastAsia="宋体" w:cs="Times New Roman"/>
                <w:i w:val="0"/>
                <w:iCs w:val="0"/>
                <w:color w:val="000000"/>
                <w:kern w:val="0"/>
                <w:sz w:val="21"/>
                <w:szCs w:val="21"/>
                <w:u w:val="none"/>
                <w:lang w:val="en-US" w:eastAsia="zh-CN" w:bidi="ar"/>
              </w:rPr>
              <w:t>:</w:t>
            </w:r>
            <w:r>
              <w:rPr>
                <w:rStyle w:val="10"/>
                <w:rFonts w:hAnsi="Times New Roman"/>
                <w:lang w:val="en-US" w:eastAsia="zh-CN" w:bidi="ar"/>
              </w:rPr>
              <w:t>阳伞直径</w:t>
            </w:r>
            <w:r>
              <w:rPr>
                <w:rFonts w:hint="default" w:ascii="Times New Roman" w:hAnsi="Times New Roman" w:eastAsia="宋体" w:cs="Times New Roman"/>
                <w:i w:val="0"/>
                <w:iCs w:val="0"/>
                <w:color w:val="000000"/>
                <w:kern w:val="0"/>
                <w:sz w:val="21"/>
                <w:szCs w:val="21"/>
                <w:u w:val="none"/>
                <w:lang w:val="en-US" w:eastAsia="zh-CN" w:bidi="ar"/>
              </w:rPr>
              <w:t>3m</w:t>
            </w:r>
            <w:r>
              <w:rPr>
                <w:rStyle w:val="10"/>
                <w:rFonts w:hAnsi="Times New Roman"/>
                <w:lang w:val="en-US" w:eastAsia="zh-CN" w:bidi="ar"/>
              </w:rPr>
              <w:t>；</w:t>
            </w:r>
          </w:p>
          <w:p w14:paraId="22AE3A75">
            <w:pPr>
              <w:keepNext w:val="0"/>
              <w:keepLines w:val="0"/>
              <w:pageBreakBefore w:val="0"/>
              <w:widowControl/>
              <w:suppressLineNumbers w:val="0"/>
              <w:kinsoku/>
              <w:wordWrap/>
              <w:overflowPunct/>
              <w:topLinePunct w:val="0"/>
              <w:autoSpaceDE/>
              <w:autoSpaceDN/>
              <w:bidi w:val="0"/>
              <w:adjustRightInd/>
              <w:snapToGrid/>
              <w:ind w:firstLineChars="0"/>
              <w:jc w:val="both"/>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r>
              <w:rPr>
                <w:rStyle w:val="10"/>
                <w:rFonts w:hAnsi="Times New Roman"/>
                <w:lang w:val="en-US" w:eastAsia="zh-CN" w:bidi="ar"/>
              </w:rPr>
              <w:t>配一桌四椅，椅子为铝合金网布椅子，长</w:t>
            </w:r>
            <w:r>
              <w:rPr>
                <w:rFonts w:hint="default" w:ascii="Times New Roman" w:hAnsi="Times New Roman" w:eastAsia="宋体" w:cs="Times New Roman"/>
                <w:i w:val="0"/>
                <w:iCs w:val="0"/>
                <w:color w:val="000000"/>
                <w:kern w:val="0"/>
                <w:sz w:val="21"/>
                <w:szCs w:val="21"/>
                <w:u w:val="none"/>
                <w:lang w:val="en-US" w:eastAsia="zh-CN" w:bidi="ar"/>
              </w:rPr>
              <w:t>0.525m</w:t>
            </w:r>
            <w:r>
              <w:rPr>
                <w:rStyle w:val="10"/>
                <w:rFonts w:hAnsi="Times New Roman"/>
                <w:lang w:val="en-US" w:eastAsia="zh-CN" w:bidi="ar"/>
              </w:rPr>
              <w:t>，宽</w:t>
            </w:r>
            <w:r>
              <w:rPr>
                <w:rFonts w:hint="default" w:ascii="Times New Roman" w:hAnsi="Times New Roman" w:eastAsia="宋体" w:cs="Times New Roman"/>
                <w:i w:val="0"/>
                <w:iCs w:val="0"/>
                <w:color w:val="000000"/>
                <w:kern w:val="0"/>
                <w:sz w:val="21"/>
                <w:szCs w:val="21"/>
                <w:u w:val="none"/>
                <w:lang w:val="en-US" w:eastAsia="zh-CN" w:bidi="ar"/>
              </w:rPr>
              <w:t>0.59m</w:t>
            </w:r>
            <w:r>
              <w:rPr>
                <w:rStyle w:val="10"/>
                <w:rFonts w:hAnsi="Times New Roman"/>
                <w:lang w:val="en-US" w:eastAsia="zh-CN" w:bidi="ar"/>
              </w:rPr>
              <w:t>，高</w:t>
            </w:r>
            <w:r>
              <w:rPr>
                <w:rFonts w:hint="default" w:ascii="Times New Roman" w:hAnsi="Times New Roman" w:eastAsia="宋体" w:cs="Times New Roman"/>
                <w:i w:val="0"/>
                <w:iCs w:val="0"/>
                <w:color w:val="000000"/>
                <w:kern w:val="0"/>
                <w:sz w:val="21"/>
                <w:szCs w:val="21"/>
                <w:u w:val="none"/>
                <w:lang w:val="en-US" w:eastAsia="zh-CN" w:bidi="ar"/>
              </w:rPr>
              <w:t>85cm</w:t>
            </w:r>
            <w:r>
              <w:rPr>
                <w:rStyle w:val="10"/>
                <w:rFonts w:hAnsi="Times New Roman"/>
                <w:lang w:val="en-US" w:eastAsia="zh-CN" w:bidi="ar"/>
              </w:rPr>
              <w:t>；桌子为铝合金长方桌，长度</w:t>
            </w:r>
            <w:r>
              <w:rPr>
                <w:rFonts w:hint="default" w:ascii="Times New Roman" w:hAnsi="Times New Roman" w:eastAsia="宋体" w:cs="Times New Roman"/>
                <w:i w:val="0"/>
                <w:iCs w:val="0"/>
                <w:color w:val="000000"/>
                <w:kern w:val="0"/>
                <w:sz w:val="21"/>
                <w:szCs w:val="21"/>
                <w:u w:val="none"/>
                <w:lang w:val="en-US" w:eastAsia="zh-CN" w:bidi="ar"/>
              </w:rPr>
              <w:t>160cm</w:t>
            </w:r>
            <w:r>
              <w:rPr>
                <w:rStyle w:val="10"/>
                <w:rFonts w:hAnsi="Times New Roman"/>
                <w:lang w:val="en-US" w:eastAsia="zh-CN" w:bidi="ar"/>
              </w:rPr>
              <w:t>，宽度</w:t>
            </w:r>
            <w:r>
              <w:rPr>
                <w:rFonts w:hint="default" w:ascii="Times New Roman" w:hAnsi="Times New Roman" w:eastAsia="宋体" w:cs="Times New Roman"/>
                <w:i w:val="0"/>
                <w:iCs w:val="0"/>
                <w:color w:val="000000"/>
                <w:kern w:val="0"/>
                <w:sz w:val="21"/>
                <w:szCs w:val="21"/>
                <w:u w:val="none"/>
                <w:lang w:val="en-US" w:eastAsia="zh-CN" w:bidi="ar"/>
              </w:rPr>
              <w:t>90cm</w:t>
            </w:r>
            <w:r>
              <w:rPr>
                <w:rStyle w:val="10"/>
                <w:rFonts w:hAnsi="Times New Roman"/>
                <w:lang w:val="en-US" w:eastAsia="zh-CN" w:bidi="ar"/>
              </w:rPr>
              <w:t>；</w:t>
            </w:r>
          </w:p>
        </w:tc>
        <w:tc>
          <w:tcPr>
            <w:tcW w:w="1090" w:type="dxa"/>
            <w:tcBorders>
              <w:top w:val="nil"/>
              <w:left w:val="single" w:color="000000" w:sz="8" w:space="0"/>
              <w:bottom w:val="single" w:color="000000" w:sz="8" w:space="0"/>
              <w:right w:val="single" w:color="000000" w:sz="8" w:space="0"/>
            </w:tcBorders>
            <w:shd w:val="clear" w:color="auto" w:fill="auto"/>
            <w:vAlign w:val="center"/>
          </w:tcPr>
          <w:p w14:paraId="55FB228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982" w:type="dxa"/>
            <w:tcBorders>
              <w:top w:val="nil"/>
              <w:left w:val="single" w:color="000000" w:sz="8" w:space="0"/>
              <w:bottom w:val="single" w:color="000000" w:sz="8" w:space="0"/>
              <w:right w:val="single" w:color="000000" w:sz="8" w:space="0"/>
            </w:tcBorders>
            <w:shd w:val="clear" w:color="auto" w:fill="auto"/>
            <w:vAlign w:val="center"/>
          </w:tcPr>
          <w:p w14:paraId="437CD96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w:t>
            </w:r>
          </w:p>
        </w:tc>
        <w:tc>
          <w:tcPr>
            <w:tcW w:w="1187" w:type="dxa"/>
            <w:tcBorders>
              <w:top w:val="nil"/>
              <w:left w:val="single" w:color="000000" w:sz="8" w:space="0"/>
              <w:bottom w:val="single" w:color="000000" w:sz="8" w:space="0"/>
              <w:right w:val="single" w:color="000000" w:sz="8" w:space="0"/>
            </w:tcBorders>
            <w:shd w:val="clear" w:color="auto" w:fill="auto"/>
            <w:vAlign w:val="center"/>
          </w:tcPr>
          <w:p w14:paraId="7405CA72">
            <w:pPr>
              <w:keepNext w:val="0"/>
              <w:keepLines w:val="0"/>
              <w:pageBreakBefore w:val="0"/>
              <w:widowControl/>
              <w:kinsoku/>
              <w:wordWrap/>
              <w:overflowPunct/>
              <w:topLinePunct w:val="0"/>
              <w:autoSpaceDE/>
              <w:autoSpaceDN/>
              <w:bidi w:val="0"/>
              <w:adjustRightInd/>
              <w:snapToGrid/>
              <w:ind w:firstLineChars="0"/>
              <w:jc w:val="center"/>
              <w:rPr>
                <w:rFonts w:hint="eastAsia" w:ascii="仿宋_GB2312" w:hAnsi="宋体" w:eastAsia="仿宋_GB2312" w:cs="仿宋_GB2312"/>
                <w:i w:val="0"/>
                <w:iCs w:val="0"/>
                <w:color w:val="000000"/>
                <w:sz w:val="21"/>
                <w:szCs w:val="21"/>
                <w:u w:val="none"/>
              </w:rPr>
            </w:pPr>
          </w:p>
        </w:tc>
        <w:tc>
          <w:tcPr>
            <w:tcW w:w="1263" w:type="dxa"/>
            <w:tcBorders>
              <w:top w:val="nil"/>
              <w:left w:val="single" w:color="000000" w:sz="8" w:space="0"/>
              <w:bottom w:val="single" w:color="000000" w:sz="8" w:space="0"/>
              <w:right w:val="single" w:color="000000" w:sz="8" w:space="0"/>
            </w:tcBorders>
            <w:shd w:val="clear" w:color="auto" w:fill="auto"/>
            <w:vAlign w:val="center"/>
          </w:tcPr>
          <w:p w14:paraId="65E70D65">
            <w:pPr>
              <w:keepNext w:val="0"/>
              <w:keepLines w:val="0"/>
              <w:pageBreakBefore w:val="0"/>
              <w:widowControl/>
              <w:kinsoku/>
              <w:wordWrap/>
              <w:overflowPunct/>
              <w:topLinePunct w:val="0"/>
              <w:autoSpaceDE/>
              <w:autoSpaceDN/>
              <w:bidi w:val="0"/>
              <w:adjustRightInd/>
              <w:snapToGrid/>
              <w:ind w:firstLineChars="0"/>
              <w:jc w:val="center"/>
              <w:rPr>
                <w:rFonts w:hint="eastAsia" w:ascii="仿宋_GB2312" w:hAnsi="宋体" w:eastAsia="仿宋_GB2312" w:cs="仿宋_GB2312"/>
                <w:i w:val="0"/>
                <w:iCs w:val="0"/>
                <w:color w:val="000000"/>
                <w:sz w:val="21"/>
                <w:szCs w:val="21"/>
                <w:u w:val="none"/>
              </w:rPr>
            </w:pPr>
          </w:p>
        </w:tc>
        <w:tc>
          <w:tcPr>
            <w:tcW w:w="561" w:type="dxa"/>
            <w:tcBorders>
              <w:top w:val="nil"/>
              <w:left w:val="single" w:color="000000" w:sz="8" w:space="0"/>
              <w:bottom w:val="single" w:color="000000" w:sz="8" w:space="0"/>
              <w:right w:val="single" w:color="000000" w:sz="8" w:space="0"/>
            </w:tcBorders>
            <w:shd w:val="clear" w:color="auto" w:fill="auto"/>
            <w:vAlign w:val="center"/>
          </w:tcPr>
          <w:p w14:paraId="15E38BAC">
            <w:pPr>
              <w:keepNext w:val="0"/>
              <w:keepLines w:val="0"/>
              <w:pageBreakBefore w:val="0"/>
              <w:widowControl/>
              <w:kinsoku/>
              <w:wordWrap/>
              <w:overflowPunct/>
              <w:topLinePunct w:val="0"/>
              <w:autoSpaceDE/>
              <w:autoSpaceDN/>
              <w:bidi w:val="0"/>
              <w:adjustRightInd/>
              <w:snapToGrid/>
              <w:ind w:firstLineChars="0"/>
              <w:jc w:val="center"/>
              <w:rPr>
                <w:rFonts w:hint="default" w:ascii="Times New Roman" w:hAnsi="Times New Roman" w:eastAsia="宋体" w:cs="Times New Roman"/>
                <w:i w:val="0"/>
                <w:iCs w:val="0"/>
                <w:color w:val="000000"/>
                <w:sz w:val="21"/>
                <w:szCs w:val="21"/>
                <w:u w:val="none"/>
              </w:rPr>
            </w:pPr>
          </w:p>
        </w:tc>
      </w:tr>
      <w:tr w14:paraId="567F1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7877" w:type="dxa"/>
            <w:gridSpan w:val="6"/>
            <w:tcBorders>
              <w:top w:val="nil"/>
              <w:left w:val="single" w:color="000000" w:sz="8" w:space="0"/>
              <w:bottom w:val="single" w:color="000000" w:sz="8" w:space="0"/>
              <w:right w:val="single" w:color="000000" w:sz="8" w:space="0"/>
            </w:tcBorders>
            <w:shd w:val="clear" w:color="auto" w:fill="auto"/>
            <w:vAlign w:val="center"/>
          </w:tcPr>
          <w:p w14:paraId="22F7DA3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合计：（元）</w:t>
            </w:r>
          </w:p>
        </w:tc>
        <w:tc>
          <w:tcPr>
            <w:tcW w:w="1263" w:type="dxa"/>
            <w:tcBorders>
              <w:top w:val="nil"/>
              <w:left w:val="single" w:color="000000" w:sz="8" w:space="0"/>
              <w:bottom w:val="single" w:color="000000" w:sz="8" w:space="0"/>
              <w:right w:val="single" w:color="000000" w:sz="8" w:space="0"/>
            </w:tcBorders>
            <w:shd w:val="clear" w:color="auto" w:fill="auto"/>
            <w:vAlign w:val="center"/>
          </w:tcPr>
          <w:p w14:paraId="663078ED">
            <w:pPr>
              <w:keepNext w:val="0"/>
              <w:keepLines w:val="0"/>
              <w:pageBreakBefore w:val="0"/>
              <w:widowControl/>
              <w:kinsoku/>
              <w:wordWrap/>
              <w:overflowPunct/>
              <w:topLinePunct w:val="0"/>
              <w:autoSpaceDE/>
              <w:autoSpaceDN/>
              <w:bidi w:val="0"/>
              <w:adjustRightInd/>
              <w:snapToGrid/>
              <w:ind w:firstLineChars="0"/>
              <w:jc w:val="center"/>
              <w:rPr>
                <w:rFonts w:hint="eastAsia" w:ascii="仿宋_GB2312" w:hAnsi="宋体" w:eastAsia="仿宋_GB2312" w:cs="仿宋_GB2312"/>
                <w:i w:val="0"/>
                <w:iCs w:val="0"/>
                <w:color w:val="000000"/>
                <w:sz w:val="21"/>
                <w:szCs w:val="21"/>
                <w:u w:val="none"/>
              </w:rPr>
            </w:pPr>
          </w:p>
        </w:tc>
        <w:tc>
          <w:tcPr>
            <w:tcW w:w="561" w:type="dxa"/>
            <w:tcBorders>
              <w:top w:val="nil"/>
              <w:left w:val="single" w:color="000000" w:sz="8" w:space="0"/>
              <w:bottom w:val="single" w:color="000000" w:sz="8" w:space="0"/>
              <w:right w:val="single" w:color="000000" w:sz="8" w:space="0"/>
            </w:tcBorders>
            <w:shd w:val="clear" w:color="auto" w:fill="auto"/>
            <w:noWrap/>
            <w:vAlign w:val="center"/>
          </w:tcPr>
          <w:p w14:paraId="58BFA04F">
            <w:pPr>
              <w:keepNext w:val="0"/>
              <w:keepLines w:val="0"/>
              <w:pageBreakBefore w:val="0"/>
              <w:widowControl/>
              <w:kinsoku/>
              <w:wordWrap/>
              <w:overflowPunct/>
              <w:topLinePunct w:val="0"/>
              <w:autoSpaceDE/>
              <w:autoSpaceDN/>
              <w:bidi w:val="0"/>
              <w:adjustRightInd/>
              <w:snapToGrid/>
              <w:ind w:firstLineChars="0"/>
              <w:rPr>
                <w:rFonts w:hint="eastAsia" w:ascii="宋体" w:hAnsi="宋体" w:eastAsia="宋体" w:cs="宋体"/>
                <w:i w:val="0"/>
                <w:iCs w:val="0"/>
                <w:color w:val="000000"/>
                <w:sz w:val="22"/>
                <w:szCs w:val="22"/>
                <w:u w:val="none"/>
              </w:rPr>
            </w:pPr>
          </w:p>
        </w:tc>
      </w:tr>
    </w:tbl>
    <w:p w14:paraId="32688320">
      <w:pPr>
        <w:spacing w:line="240" w:lineRule="auto"/>
        <w:ind w:left="1260" w:hanging="1260" w:hangingChars="600"/>
        <w:jc w:val="left"/>
        <w:rPr>
          <w:rFonts w:hint="eastAsia" w:ascii="仿宋" w:hAnsi="仿宋" w:eastAsia="仿宋" w:cs="仿宋"/>
          <w:bCs/>
          <w:color w:val="000000"/>
          <w:sz w:val="21"/>
          <w:szCs w:val="24"/>
          <w:highlight w:val="none"/>
          <w:lang w:val="en-US" w:eastAsia="zh-CN"/>
        </w:rPr>
      </w:pPr>
      <w:r>
        <w:rPr>
          <w:rFonts w:hint="eastAsia" w:ascii="仿宋" w:hAnsi="仿宋" w:eastAsia="仿宋" w:cs="仿宋"/>
          <w:b w:val="0"/>
          <w:bCs/>
          <w:color w:val="000000"/>
          <w:highlight w:val="none"/>
        </w:rPr>
        <w:t>备注：</w:t>
      </w:r>
      <w:r>
        <w:rPr>
          <w:rFonts w:hint="eastAsia" w:ascii="仿宋" w:hAnsi="仿宋" w:eastAsia="仿宋" w:cs="仿宋"/>
          <w:bCs/>
          <w:color w:val="000000"/>
          <w:sz w:val="21"/>
          <w:szCs w:val="24"/>
          <w:highlight w:val="none"/>
          <w:lang w:val="en-US" w:eastAsia="zh-CN"/>
        </w:rPr>
        <w:t>（1）所有报价均用人民币表示，该单价为固定综合单价，包括但不限于运输费、上下车费、安装费、管理费、利润、税金等为完成本项目材料供应的所有费用。</w:t>
      </w:r>
    </w:p>
    <w:p w14:paraId="4D56A424">
      <w:pPr>
        <w:spacing w:beforeLines="-2147483648" w:line="240" w:lineRule="auto"/>
        <w:ind w:firstLine="630" w:firstLineChars="300"/>
        <w:jc w:val="left"/>
        <w:rPr>
          <w:rFonts w:hint="eastAsia"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（2）</w:t>
      </w:r>
      <w:r>
        <w:rPr>
          <w:rFonts w:hint="eastAsia" w:ascii="仿宋" w:hAnsi="仿宋" w:eastAsia="仿宋" w:cs="仿宋"/>
          <w:bCs/>
          <w:color w:val="000000"/>
          <w:spacing w:val="0"/>
          <w:kern w:val="2"/>
          <w:sz w:val="21"/>
          <w:szCs w:val="24"/>
          <w:highlight w:val="none"/>
          <w:lang w:val="en-US" w:eastAsia="zh-CN" w:bidi="ar-SA"/>
        </w:rPr>
        <w:t>超过最高限价的报价无效</w:t>
      </w:r>
      <w:r>
        <w:rPr>
          <w:rFonts w:hint="eastAsia" w:ascii="仿宋" w:hAnsi="仿宋" w:eastAsia="仿宋" w:cs="仿宋"/>
          <w:bCs/>
          <w:color w:val="000000"/>
          <w:highlight w:val="none"/>
          <w:lang w:val="en-US" w:eastAsia="zh-CN"/>
        </w:rPr>
        <w:t>。</w:t>
      </w:r>
    </w:p>
    <w:p w14:paraId="0854EC2E">
      <w:pPr>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lang w:val="en-US" w:eastAsia="zh-CN"/>
        </w:rPr>
        <w:t>2.</w:t>
      </w:r>
      <w:r>
        <w:rPr>
          <w:rFonts w:hint="eastAsia" w:ascii="仿宋" w:hAnsi="仿宋" w:eastAsia="仿宋" w:cs="仿宋"/>
          <w:bCs/>
          <w:color w:val="000000"/>
          <w:sz w:val="24"/>
          <w:highlight w:val="none"/>
        </w:rPr>
        <w:t>合同</w:t>
      </w:r>
      <w:r>
        <w:rPr>
          <w:rFonts w:hint="eastAsia" w:ascii="仿宋" w:hAnsi="仿宋" w:eastAsia="仿宋" w:cs="仿宋"/>
          <w:bCs/>
          <w:color w:val="000000"/>
          <w:sz w:val="24"/>
          <w:highlight w:val="none"/>
          <w:lang w:val="en-US" w:eastAsia="zh-CN"/>
        </w:rPr>
        <w:t>暂定</w:t>
      </w:r>
      <w:r>
        <w:rPr>
          <w:rFonts w:hint="eastAsia" w:ascii="仿宋" w:hAnsi="仿宋" w:eastAsia="仿宋" w:cs="仿宋"/>
          <w:bCs/>
          <w:color w:val="000000"/>
          <w:sz w:val="24"/>
          <w:highlight w:val="none"/>
        </w:rPr>
        <w:t xml:space="preserve">总金额（含增值税）为：￥：         </w:t>
      </w:r>
      <w:r>
        <w:rPr>
          <w:rFonts w:hint="eastAsia" w:ascii="仿宋" w:hAnsi="仿宋" w:eastAsia="仿宋" w:cs="仿宋"/>
          <w:bCs/>
          <w:color w:val="000000"/>
          <w:sz w:val="24"/>
          <w:highlight w:val="none"/>
          <w:lang w:val="en-US" w:eastAsia="zh-CN"/>
        </w:rPr>
        <w:t>(</w:t>
      </w:r>
      <w:r>
        <w:rPr>
          <w:rFonts w:hint="eastAsia" w:ascii="仿宋" w:hAnsi="仿宋" w:eastAsia="仿宋" w:cs="仿宋"/>
          <w:bCs/>
          <w:color w:val="000000"/>
          <w:sz w:val="24"/>
          <w:highlight w:val="none"/>
        </w:rPr>
        <w:t>大写：         整</w:t>
      </w:r>
      <w:r>
        <w:rPr>
          <w:rFonts w:hint="eastAsia" w:ascii="仿宋" w:hAnsi="仿宋" w:eastAsia="仿宋" w:cs="仿宋"/>
          <w:bCs/>
          <w:color w:val="000000"/>
          <w:sz w:val="24"/>
          <w:highlight w:val="none"/>
          <w:lang w:val="en-US" w:eastAsia="zh-CN"/>
        </w:rPr>
        <w:t>)。</w:t>
      </w:r>
      <w:r>
        <w:rPr>
          <w:rFonts w:hint="eastAsia" w:ascii="仿宋" w:hAnsi="仿宋" w:eastAsia="仿宋" w:cs="仿宋"/>
          <w:bCs/>
          <w:color w:val="000000"/>
          <w:sz w:val="24"/>
          <w:highlight w:val="none"/>
        </w:rPr>
        <w:t>其中，不含税</w:t>
      </w:r>
      <w:r>
        <w:rPr>
          <w:rFonts w:hint="eastAsia" w:ascii="仿宋" w:hAnsi="仿宋" w:eastAsia="仿宋" w:cs="仿宋"/>
          <w:bCs/>
          <w:color w:val="000000"/>
          <w:sz w:val="24"/>
          <w:highlight w:val="none"/>
          <w:lang w:val="en-US" w:eastAsia="zh-CN"/>
        </w:rPr>
        <w:t>金额</w:t>
      </w:r>
      <w:r>
        <w:rPr>
          <w:rFonts w:hint="eastAsia" w:ascii="仿宋" w:hAnsi="仿宋" w:eastAsia="仿宋" w:cs="仿宋"/>
          <w:bCs/>
          <w:color w:val="000000"/>
          <w:sz w:val="24"/>
          <w:highlight w:val="none"/>
        </w:rPr>
        <w:t>为：￥：        ，税</w:t>
      </w:r>
      <w:r>
        <w:rPr>
          <w:rFonts w:hint="eastAsia" w:ascii="仿宋" w:hAnsi="仿宋" w:eastAsia="仿宋" w:cs="仿宋"/>
          <w:bCs/>
          <w:color w:val="000000"/>
          <w:sz w:val="24"/>
          <w:highlight w:val="none"/>
          <w:lang w:val="en-US" w:eastAsia="zh-CN"/>
        </w:rPr>
        <w:t>费</w:t>
      </w:r>
      <w:r>
        <w:rPr>
          <w:rFonts w:hint="eastAsia" w:ascii="仿宋" w:hAnsi="仿宋" w:eastAsia="仿宋" w:cs="仿宋"/>
          <w:bCs/>
          <w:color w:val="000000"/>
          <w:sz w:val="24"/>
          <w:highlight w:val="none"/>
        </w:rPr>
        <w:t>为：￥：         。供货数量、时间和地点以甲方需求计划为准，以上数量为暂估量，结算数量为甲方实收合格数量，甲方有权对合同中的数量和交货时间做调整，乙方不得有异议，最终供货数量未达到暂估数量时，乙方不得以供货数量不足向甲方主张任何权利。</w:t>
      </w:r>
    </w:p>
    <w:p w14:paraId="79EE418F">
      <w:pPr>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3、乙方负责运输（并卸货）至甲方指定地点，材料价格</w:t>
      </w:r>
      <w:r>
        <w:rPr>
          <w:rFonts w:hint="eastAsia" w:ascii="仿宋" w:hAnsi="仿宋" w:eastAsia="仿宋" w:cs="仿宋"/>
          <w:bCs/>
          <w:color w:val="000000"/>
          <w:sz w:val="24"/>
          <w:highlight w:val="none"/>
          <w:lang w:val="en-US" w:eastAsia="zh-CN"/>
        </w:rPr>
        <w:t>包括但不限于运输费、上下车费、安装费、管理费、利润、税金等为完成本项目材料供应的所有费用</w:t>
      </w:r>
      <w:r>
        <w:rPr>
          <w:rFonts w:hint="eastAsia" w:ascii="仿宋" w:hAnsi="仿宋" w:eastAsia="仿宋" w:cs="仿宋"/>
          <w:bCs/>
          <w:color w:val="000000"/>
          <w:sz w:val="24"/>
          <w:highlight w:val="none"/>
        </w:rPr>
        <w:t>。本合同为</w:t>
      </w:r>
      <w:r>
        <w:rPr>
          <w:rFonts w:hint="eastAsia" w:ascii="仿宋" w:hAnsi="仿宋" w:eastAsia="仿宋" w:cs="仿宋"/>
          <w:bCs/>
          <w:color w:val="000000"/>
          <w:sz w:val="24"/>
          <w:highlight w:val="none"/>
          <w:lang w:val="en-US" w:eastAsia="zh-CN"/>
        </w:rPr>
        <w:t>固定单</w:t>
      </w:r>
      <w:r>
        <w:rPr>
          <w:rFonts w:hint="eastAsia" w:ascii="仿宋" w:hAnsi="仿宋" w:eastAsia="仿宋" w:cs="仿宋"/>
          <w:bCs/>
          <w:color w:val="000000"/>
          <w:sz w:val="24"/>
          <w:highlight w:val="none"/>
        </w:rPr>
        <w:t>价，甲方有权调整合同中材料计划或材料数量，材料数量和规格的调整，不影响本合同单价及其他条款的执行。</w:t>
      </w:r>
    </w:p>
    <w:p w14:paraId="6CA5EB6A">
      <w:pPr>
        <w:tabs>
          <w:tab w:val="left" w:pos="567"/>
        </w:tabs>
        <w:adjustRightInd w:val="0"/>
        <w:snapToGrid w:val="0"/>
        <w:spacing w:line="560" w:lineRule="exact"/>
        <w:ind w:firstLine="472" w:firstLineChars="196"/>
        <w:rPr>
          <w:rFonts w:ascii="仿宋" w:hAnsi="仿宋" w:eastAsia="仿宋" w:cs="仿宋"/>
          <w:b/>
          <w:color w:val="000000"/>
          <w:sz w:val="24"/>
          <w:highlight w:val="none"/>
        </w:rPr>
      </w:pPr>
      <w:r>
        <w:rPr>
          <w:rFonts w:hint="eastAsia" w:ascii="仿宋" w:hAnsi="仿宋" w:eastAsia="仿宋" w:cs="仿宋"/>
          <w:b/>
          <w:color w:val="000000"/>
          <w:sz w:val="24"/>
          <w:highlight w:val="none"/>
        </w:rPr>
        <w:t xml:space="preserve">二、技术标准（包括质量要求） </w:t>
      </w:r>
    </w:p>
    <w:p w14:paraId="5B81E814">
      <w:pPr>
        <w:widowControl/>
        <w:spacing w:line="560" w:lineRule="exact"/>
        <w:ind w:firstLine="480" w:firstLineChars="200"/>
        <w:jc w:val="left"/>
        <w:rPr>
          <w:rFonts w:hint="eastAsia" w:ascii="仿宋" w:hAnsi="仿宋" w:eastAsia="仿宋" w:cs="仿宋"/>
          <w:b w:val="0"/>
          <w:bCs w:val="0"/>
          <w:color w:val="auto"/>
          <w:sz w:val="24"/>
          <w:szCs w:val="21"/>
          <w:highlight w:val="none"/>
          <w:lang w:val="en-US" w:eastAsia="zh-CN"/>
        </w:rPr>
      </w:pPr>
      <w:r>
        <w:rPr>
          <w:rFonts w:hint="eastAsia" w:ascii="仿宋" w:hAnsi="仿宋" w:eastAsia="仿宋" w:cs="仿宋"/>
          <w:b w:val="0"/>
          <w:bCs w:val="0"/>
          <w:color w:val="auto"/>
          <w:sz w:val="24"/>
          <w:szCs w:val="21"/>
          <w:highlight w:val="none"/>
          <w:lang w:val="en-US" w:eastAsia="zh-CN"/>
        </w:rPr>
        <w:t>（1）技术要求：供应商的产品须同时满足国家标准、行业标准及采购人技术要求；</w:t>
      </w:r>
    </w:p>
    <w:p w14:paraId="6D3F5504">
      <w:pPr>
        <w:widowControl/>
        <w:spacing w:line="560" w:lineRule="exact"/>
        <w:ind w:firstLine="480" w:firstLineChars="200"/>
        <w:jc w:val="left"/>
        <w:rPr>
          <w:rFonts w:hint="eastAsia" w:ascii="仿宋" w:hAnsi="仿宋" w:eastAsia="仿宋" w:cs="仿宋"/>
          <w:b w:val="0"/>
          <w:bCs w:val="0"/>
          <w:color w:val="auto"/>
          <w:sz w:val="24"/>
          <w:szCs w:val="21"/>
          <w:highlight w:val="none"/>
          <w:lang w:val="en-US" w:eastAsia="zh-CN"/>
        </w:rPr>
      </w:pPr>
      <w:r>
        <w:rPr>
          <w:rFonts w:hint="eastAsia" w:ascii="仿宋" w:hAnsi="仿宋" w:eastAsia="仿宋" w:cs="仿宋"/>
          <w:b w:val="0"/>
          <w:bCs w:val="0"/>
          <w:color w:val="auto"/>
          <w:sz w:val="24"/>
          <w:szCs w:val="21"/>
          <w:highlight w:val="none"/>
          <w:lang w:val="en-US" w:eastAsia="zh-CN"/>
        </w:rPr>
        <w:t xml:space="preserve">（2）材料的试验项目、试验方法按照国家、行业和地方的现行规定执行。 </w:t>
      </w:r>
    </w:p>
    <w:p w14:paraId="71C3C481">
      <w:pPr>
        <w:widowControl/>
        <w:spacing w:line="560" w:lineRule="exact"/>
        <w:ind w:firstLine="480" w:firstLineChars="200"/>
        <w:jc w:val="left"/>
        <w:rPr>
          <w:rFonts w:hint="eastAsia" w:ascii="仿宋" w:hAnsi="仿宋" w:eastAsia="仿宋" w:cs="仿宋"/>
          <w:b w:val="0"/>
          <w:bCs w:val="0"/>
          <w:color w:val="auto"/>
          <w:sz w:val="24"/>
          <w:szCs w:val="21"/>
          <w:highlight w:val="none"/>
          <w:lang w:val="en-US" w:eastAsia="zh-CN"/>
        </w:rPr>
      </w:pPr>
      <w:r>
        <w:rPr>
          <w:rFonts w:hint="eastAsia" w:ascii="仿宋" w:hAnsi="仿宋" w:eastAsia="仿宋" w:cs="仿宋"/>
          <w:b w:val="0"/>
          <w:bCs w:val="0"/>
          <w:color w:val="auto"/>
          <w:sz w:val="24"/>
          <w:szCs w:val="21"/>
          <w:highlight w:val="none"/>
          <w:lang w:val="en-US" w:eastAsia="zh-CN"/>
        </w:rPr>
        <w:t xml:space="preserve">（3）供应要求： </w:t>
      </w:r>
    </w:p>
    <w:p w14:paraId="3599CBB8">
      <w:pPr>
        <w:widowControl/>
        <w:spacing w:line="560" w:lineRule="exact"/>
        <w:ind w:firstLine="480" w:firstLineChars="200"/>
        <w:jc w:val="left"/>
        <w:rPr>
          <w:rFonts w:hint="eastAsia" w:ascii="仿宋" w:hAnsi="仿宋" w:eastAsia="仿宋" w:cs="仿宋"/>
          <w:b w:val="0"/>
          <w:bCs w:val="0"/>
          <w:color w:val="auto"/>
          <w:sz w:val="24"/>
          <w:szCs w:val="21"/>
          <w:highlight w:val="none"/>
          <w:lang w:val="en-US" w:eastAsia="zh-CN"/>
        </w:rPr>
      </w:pPr>
      <w:r>
        <w:rPr>
          <w:rFonts w:hint="eastAsia" w:ascii="仿宋" w:hAnsi="仿宋" w:eastAsia="仿宋" w:cs="仿宋"/>
          <w:b w:val="0"/>
          <w:bCs w:val="0"/>
          <w:color w:val="auto"/>
          <w:sz w:val="24"/>
          <w:szCs w:val="21"/>
          <w:highlight w:val="none"/>
          <w:lang w:val="en-US" w:eastAsia="zh-CN"/>
        </w:rPr>
        <w:t xml:space="preserve">①成交人每次供货都应随车提交该批次产品的名称、规格型号、数量、检测报告或产品合格证； </w:t>
      </w:r>
    </w:p>
    <w:p w14:paraId="7D7789D9">
      <w:pPr>
        <w:tabs>
          <w:tab w:val="left" w:pos="567"/>
        </w:tabs>
        <w:adjustRightInd w:val="0"/>
        <w:snapToGrid w:val="0"/>
        <w:spacing w:line="560" w:lineRule="exact"/>
        <w:ind w:firstLine="470" w:firstLineChars="196"/>
        <w:rPr>
          <w:rFonts w:hint="eastAsia" w:ascii="仿宋" w:hAnsi="仿宋" w:eastAsia="仿宋" w:cs="仿宋"/>
          <w:b w:val="0"/>
          <w:bCs w:val="0"/>
          <w:color w:val="auto"/>
          <w:sz w:val="24"/>
          <w:szCs w:val="21"/>
          <w:highlight w:val="none"/>
          <w:lang w:val="en-US" w:eastAsia="zh-CN"/>
        </w:rPr>
      </w:pPr>
      <w:r>
        <w:rPr>
          <w:rFonts w:hint="eastAsia" w:ascii="仿宋" w:hAnsi="仿宋" w:eastAsia="仿宋" w:cs="仿宋"/>
          <w:b w:val="0"/>
          <w:bCs w:val="0"/>
          <w:color w:val="auto"/>
          <w:sz w:val="24"/>
          <w:szCs w:val="21"/>
          <w:highlight w:val="none"/>
          <w:lang w:val="en-US" w:eastAsia="zh-CN"/>
        </w:rPr>
        <w:t>②现场清点和验收：成交人每次到场的货物，采购人只确认外观、数量、所提供的资料是否齐全；具体的各项技术指标按照双方签订的合同及技术标准(技术要求)执行。</w:t>
      </w:r>
    </w:p>
    <w:p w14:paraId="05FBB3AA">
      <w:pPr>
        <w:tabs>
          <w:tab w:val="left" w:pos="567"/>
        </w:tabs>
        <w:adjustRightInd w:val="0"/>
        <w:snapToGrid w:val="0"/>
        <w:spacing w:line="560" w:lineRule="exact"/>
        <w:ind w:firstLine="472" w:firstLineChars="196"/>
        <w:rPr>
          <w:rFonts w:ascii="仿宋" w:hAnsi="仿宋" w:eastAsia="仿宋" w:cs="仿宋"/>
          <w:b/>
          <w:color w:val="000000"/>
          <w:sz w:val="24"/>
          <w:highlight w:val="none"/>
        </w:rPr>
      </w:pPr>
      <w:r>
        <w:rPr>
          <w:rFonts w:hint="eastAsia" w:ascii="仿宋" w:hAnsi="仿宋" w:eastAsia="仿宋" w:cs="仿宋"/>
          <w:b/>
          <w:color w:val="000000"/>
          <w:sz w:val="24"/>
          <w:highlight w:val="none"/>
        </w:rPr>
        <w:t>三、质量保证期</w:t>
      </w:r>
    </w:p>
    <w:p w14:paraId="2BA626E0">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lang w:val="en-US" w:eastAsia="zh-CN"/>
        </w:rPr>
        <w:t>1</w:t>
      </w:r>
      <w:r>
        <w:rPr>
          <w:rFonts w:hint="eastAsia" w:ascii="仿宋" w:hAnsi="仿宋" w:eastAsia="仿宋" w:cs="仿宋"/>
          <w:bCs/>
          <w:color w:val="000000"/>
          <w:sz w:val="24"/>
          <w:highlight w:val="none"/>
        </w:rPr>
        <w:t>、甲方对产品的质量要求贯穿于施工前后的整个过程及工程完工后的保修期内。使用过程中才能发现质量缺陷的材料，在甲方提出质量异议后，乙方应立即予以无偿更换并赔偿因质量问题给甲方及工程造成的损失。乙方借故推脱或无理由拒绝甲方提出的维修、更换服务要求，甲方或工程业主可以自行解决，并对维修或更换服务以实际发生费用或市场价（以较高者为准）从甲方应支付给乙方的合同款项中扣除得到补偿。甲方根据合同规定对乙方行使的其他权利不受影响，并保留进一步索赔的权利。维修或更换后的货物的质量保证期相应延长。</w:t>
      </w:r>
    </w:p>
    <w:p w14:paraId="0B6DCFF0">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lang w:val="en-US" w:eastAsia="zh-CN"/>
        </w:rPr>
        <w:t>2</w:t>
      </w:r>
      <w:r>
        <w:rPr>
          <w:rFonts w:hint="eastAsia" w:ascii="仿宋" w:hAnsi="仿宋" w:eastAsia="仿宋" w:cs="仿宋"/>
          <w:bCs/>
          <w:color w:val="000000"/>
          <w:sz w:val="24"/>
          <w:highlight w:val="none"/>
        </w:rPr>
        <w:t>、质量保证期后乙方仍应承担售后服务。乙方必须在接到甲方或工程业主提出书面要求后2日内给予书面答复，并提供相应服务，以达到本工程项目业主满意。</w:t>
      </w:r>
    </w:p>
    <w:p w14:paraId="07825CF5">
      <w:pPr>
        <w:tabs>
          <w:tab w:val="left" w:pos="567"/>
        </w:tabs>
        <w:adjustRightInd w:val="0"/>
        <w:snapToGrid w:val="0"/>
        <w:spacing w:line="560" w:lineRule="exact"/>
        <w:ind w:firstLine="472" w:firstLineChars="196"/>
        <w:rPr>
          <w:rFonts w:ascii="仿宋" w:hAnsi="仿宋" w:eastAsia="仿宋" w:cs="仿宋"/>
          <w:b/>
          <w:color w:val="000000"/>
          <w:sz w:val="24"/>
          <w:highlight w:val="none"/>
        </w:rPr>
      </w:pPr>
      <w:r>
        <w:rPr>
          <w:rFonts w:hint="eastAsia" w:ascii="仿宋" w:hAnsi="仿宋" w:eastAsia="仿宋" w:cs="仿宋"/>
          <w:b/>
          <w:color w:val="000000"/>
          <w:sz w:val="24"/>
          <w:highlight w:val="none"/>
        </w:rPr>
        <w:t>四、交货方法、交货地点、交货期限</w:t>
      </w:r>
    </w:p>
    <w:p w14:paraId="50471191">
      <w:pPr>
        <w:tabs>
          <w:tab w:val="left" w:pos="567"/>
        </w:tabs>
        <w:adjustRightInd w:val="0"/>
        <w:snapToGrid w:val="0"/>
        <w:spacing w:line="560" w:lineRule="exact"/>
        <w:ind w:firstLine="480" w:firstLineChars="200"/>
        <w:rPr>
          <w:rFonts w:ascii="仿宋" w:hAnsi="仿宋" w:eastAsia="仿宋" w:cs="仿宋"/>
          <w:color w:val="000000"/>
          <w:sz w:val="24"/>
          <w:highlight w:val="none"/>
        </w:rPr>
      </w:pPr>
      <w:r>
        <w:rPr>
          <w:rFonts w:hint="eastAsia" w:ascii="仿宋" w:hAnsi="仿宋" w:eastAsia="仿宋" w:cs="仿宋"/>
          <w:bCs/>
          <w:color w:val="000000"/>
          <w:sz w:val="24"/>
          <w:highlight w:val="none"/>
        </w:rPr>
        <w:t>1、交货地点:</w:t>
      </w:r>
      <w:r>
        <w:rPr>
          <w:rFonts w:hint="eastAsia" w:ascii="仿宋" w:hAnsi="仿宋" w:eastAsia="仿宋" w:cs="仿宋"/>
          <w:bCs/>
          <w:color w:val="000000"/>
          <w:sz w:val="24"/>
          <w:highlight w:val="none"/>
          <w:u w:val="single"/>
        </w:rPr>
        <w:t xml:space="preserve">  </w:t>
      </w:r>
      <w:r>
        <w:rPr>
          <w:rFonts w:hint="eastAsia" w:ascii="仿宋" w:hAnsi="仿宋" w:eastAsia="仿宋" w:cs="仿宋"/>
          <w:bCs/>
          <w:color w:val="000000"/>
          <w:sz w:val="24"/>
          <w:highlight w:val="none"/>
          <w:u w:val="single"/>
          <w:lang w:val="en-US" w:eastAsia="zh-CN"/>
        </w:rPr>
        <w:t>项目所在地</w:t>
      </w:r>
      <w:r>
        <w:rPr>
          <w:rFonts w:hint="eastAsia" w:ascii="仿宋" w:hAnsi="仿宋" w:eastAsia="仿宋" w:cs="仿宋"/>
          <w:bCs/>
          <w:color w:val="000000"/>
          <w:sz w:val="24"/>
          <w:highlight w:val="none"/>
          <w:u w:val="single"/>
        </w:rPr>
        <w:t xml:space="preserve">   </w:t>
      </w:r>
      <w:r>
        <w:rPr>
          <w:rFonts w:hint="eastAsia" w:ascii="仿宋" w:hAnsi="仿宋" w:eastAsia="仿宋" w:cs="仿宋"/>
          <w:bCs/>
          <w:color w:val="000000"/>
          <w:sz w:val="24"/>
          <w:highlight w:val="none"/>
        </w:rPr>
        <w:t>，乙方必须保证按甲方的供货通知所要求的规格、数量、时间，供应甲方合同明细中要求的合格物资并运输和卸入指定地点，否则甲方可以在不需要征得乙方同意的条件下将乙方的保证金扣除，并有追索其他损失的权利。</w:t>
      </w:r>
    </w:p>
    <w:p w14:paraId="712BD96B">
      <w:pPr>
        <w:spacing w:line="560" w:lineRule="exact"/>
        <w:ind w:firstLine="484" w:firstLineChars="202"/>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2、</w:t>
      </w:r>
      <w:r>
        <w:rPr>
          <w:rFonts w:hint="eastAsia" w:ascii="仿宋" w:hAnsi="仿宋" w:eastAsia="仿宋" w:cs="仿宋"/>
          <w:color w:val="000000"/>
          <w:sz w:val="24"/>
          <w:highlight w:val="none"/>
          <w:lang w:val="en-US" w:eastAsia="zh-CN"/>
        </w:rPr>
        <w:t>乙方</w:t>
      </w:r>
      <w:r>
        <w:rPr>
          <w:rFonts w:hint="eastAsia" w:ascii="仿宋" w:hAnsi="仿宋" w:eastAsia="仿宋" w:cs="仿宋"/>
          <w:color w:val="000000"/>
          <w:sz w:val="24"/>
          <w:highlight w:val="none"/>
        </w:rPr>
        <w:t>应随同每批物资发运附一份发货物资清单、出厂质量检验合格证书等必要文件。</w:t>
      </w:r>
    </w:p>
    <w:p w14:paraId="686E07AB">
      <w:pPr>
        <w:spacing w:line="560" w:lineRule="exact"/>
        <w:ind w:firstLine="484" w:firstLineChars="202"/>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3、物资运抵交货地点后，买卖双方及施工、监理单位应按</w:t>
      </w:r>
      <w:r>
        <w:rPr>
          <w:rFonts w:hint="eastAsia" w:ascii="仿宋" w:hAnsi="仿宋" w:eastAsia="仿宋" w:cs="仿宋"/>
          <w:color w:val="000000"/>
          <w:sz w:val="24"/>
          <w:highlight w:val="none"/>
          <w:lang w:val="en-US" w:eastAsia="zh-CN"/>
        </w:rPr>
        <w:t>乙方</w:t>
      </w:r>
      <w:r>
        <w:rPr>
          <w:rFonts w:hint="eastAsia" w:ascii="仿宋" w:hAnsi="仿宋" w:eastAsia="仿宋" w:cs="仿宋"/>
          <w:color w:val="000000"/>
          <w:sz w:val="24"/>
          <w:highlight w:val="none"/>
        </w:rPr>
        <w:t>提供的发货物资清单对到货数量、外观、规格型号、合格证等进行核对。如发现包装破损，应作出记录并立即检查，确认是否对物资本身造成损伤。如确认对物资本身造成了损伤，</w:t>
      </w:r>
      <w:r>
        <w:rPr>
          <w:rFonts w:hint="eastAsia" w:ascii="仿宋" w:hAnsi="仿宋" w:eastAsia="仿宋" w:cs="仿宋"/>
          <w:color w:val="000000"/>
          <w:sz w:val="24"/>
          <w:highlight w:val="none"/>
          <w:lang w:val="en-US" w:eastAsia="zh-CN"/>
        </w:rPr>
        <w:t>乙方</w:t>
      </w:r>
      <w:r>
        <w:rPr>
          <w:rFonts w:hint="eastAsia" w:ascii="仿宋" w:hAnsi="仿宋" w:eastAsia="仿宋" w:cs="仿宋"/>
          <w:color w:val="000000"/>
          <w:sz w:val="24"/>
          <w:highlight w:val="none"/>
        </w:rPr>
        <w:t>应及时更换被损伤的物资，或者免费进行必要的补救以达到物资出厂的标准。</w:t>
      </w:r>
    </w:p>
    <w:p w14:paraId="7E82AEFF">
      <w:pPr>
        <w:spacing w:line="560" w:lineRule="exact"/>
        <w:ind w:firstLine="484" w:firstLineChars="202"/>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4、物资经验收合格后，</w:t>
      </w:r>
      <w:r>
        <w:rPr>
          <w:rFonts w:hint="eastAsia" w:ascii="仿宋" w:hAnsi="仿宋" w:eastAsia="仿宋" w:cs="仿宋"/>
          <w:color w:val="000000"/>
          <w:sz w:val="24"/>
          <w:highlight w:val="none"/>
          <w:lang w:val="en-US" w:eastAsia="zh-CN"/>
        </w:rPr>
        <w:t>甲方</w:t>
      </w:r>
      <w:r>
        <w:rPr>
          <w:rFonts w:hint="eastAsia" w:ascii="仿宋" w:hAnsi="仿宋" w:eastAsia="仿宋" w:cs="仿宋"/>
          <w:color w:val="000000"/>
          <w:sz w:val="24"/>
          <w:highlight w:val="none"/>
        </w:rPr>
        <w:t>向</w:t>
      </w:r>
      <w:r>
        <w:rPr>
          <w:rFonts w:hint="eastAsia" w:ascii="仿宋" w:hAnsi="仿宋" w:eastAsia="仿宋" w:cs="仿宋"/>
          <w:color w:val="000000"/>
          <w:sz w:val="24"/>
          <w:highlight w:val="none"/>
          <w:lang w:val="en-US" w:eastAsia="zh-CN"/>
        </w:rPr>
        <w:t>乙方</w:t>
      </w:r>
      <w:r>
        <w:rPr>
          <w:rFonts w:hint="eastAsia" w:ascii="仿宋" w:hAnsi="仿宋" w:eastAsia="仿宋" w:cs="仿宋"/>
          <w:color w:val="000000"/>
          <w:sz w:val="24"/>
          <w:highlight w:val="none"/>
        </w:rPr>
        <w:t>出具验收单据。此验收合格的单据不作为判定物资质量的依据。</w:t>
      </w:r>
    </w:p>
    <w:p w14:paraId="4E60B77D">
      <w:pPr>
        <w:spacing w:line="560" w:lineRule="exact"/>
        <w:ind w:firstLine="484" w:firstLineChars="202"/>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5、</w:t>
      </w:r>
      <w:r>
        <w:rPr>
          <w:rFonts w:hint="eastAsia" w:ascii="仿宋" w:hAnsi="仿宋" w:eastAsia="仿宋" w:cs="仿宋"/>
          <w:color w:val="000000"/>
          <w:sz w:val="24"/>
          <w:highlight w:val="none"/>
          <w:lang w:val="en-US" w:eastAsia="zh-CN"/>
        </w:rPr>
        <w:t>甲方</w:t>
      </w:r>
      <w:r>
        <w:rPr>
          <w:rFonts w:hint="eastAsia" w:ascii="仿宋" w:hAnsi="仿宋" w:eastAsia="仿宋" w:cs="仿宋"/>
          <w:color w:val="000000"/>
          <w:sz w:val="24"/>
          <w:highlight w:val="none"/>
        </w:rPr>
        <w:t>出具验收单据后，物资所有权转移给</w:t>
      </w:r>
      <w:r>
        <w:rPr>
          <w:rFonts w:hint="eastAsia" w:ascii="仿宋" w:hAnsi="仿宋" w:eastAsia="仿宋" w:cs="仿宋"/>
          <w:color w:val="000000"/>
          <w:sz w:val="24"/>
          <w:highlight w:val="none"/>
          <w:lang w:val="en-US" w:eastAsia="zh-CN"/>
        </w:rPr>
        <w:t>甲方</w:t>
      </w:r>
      <w:r>
        <w:rPr>
          <w:rFonts w:hint="eastAsia" w:ascii="仿宋" w:hAnsi="仿宋" w:eastAsia="仿宋" w:cs="仿宋"/>
          <w:color w:val="000000"/>
          <w:sz w:val="24"/>
          <w:highlight w:val="none"/>
        </w:rPr>
        <w:t>，但并不解除</w:t>
      </w:r>
      <w:r>
        <w:rPr>
          <w:rFonts w:hint="eastAsia" w:ascii="仿宋" w:hAnsi="仿宋" w:eastAsia="仿宋" w:cs="仿宋"/>
          <w:color w:val="000000"/>
          <w:sz w:val="24"/>
          <w:highlight w:val="none"/>
          <w:lang w:val="en-US" w:eastAsia="zh-CN"/>
        </w:rPr>
        <w:t>乙方</w:t>
      </w:r>
      <w:r>
        <w:rPr>
          <w:rFonts w:hint="eastAsia" w:ascii="仿宋" w:hAnsi="仿宋" w:eastAsia="仿宋" w:cs="仿宋"/>
          <w:color w:val="000000"/>
          <w:sz w:val="24"/>
          <w:highlight w:val="none"/>
        </w:rPr>
        <w:t>对其物资应负的质量责任。</w:t>
      </w:r>
    </w:p>
    <w:p w14:paraId="1423D255">
      <w:pPr>
        <w:spacing w:line="560" w:lineRule="exact"/>
        <w:ind w:firstLine="484" w:firstLineChars="202"/>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6、</w:t>
      </w:r>
      <w:r>
        <w:rPr>
          <w:rFonts w:hint="eastAsia" w:ascii="仿宋" w:hAnsi="仿宋" w:eastAsia="仿宋" w:cs="仿宋"/>
          <w:color w:val="000000"/>
          <w:sz w:val="24"/>
          <w:highlight w:val="none"/>
          <w:lang w:val="en-US" w:eastAsia="zh-CN"/>
        </w:rPr>
        <w:t>甲方</w:t>
      </w:r>
      <w:r>
        <w:rPr>
          <w:rFonts w:hint="eastAsia" w:ascii="仿宋" w:hAnsi="仿宋" w:eastAsia="仿宋" w:cs="仿宋"/>
          <w:color w:val="000000"/>
          <w:sz w:val="24"/>
          <w:highlight w:val="none"/>
        </w:rPr>
        <w:t>有权对验收合格后的物资交有资质的检验部门</w:t>
      </w:r>
      <w:r>
        <w:rPr>
          <w:rFonts w:hint="eastAsia" w:ascii="仿宋" w:hAnsi="仿宋" w:eastAsia="仿宋" w:cs="仿宋"/>
          <w:color w:val="000000"/>
          <w:sz w:val="24"/>
          <w:highlight w:val="none"/>
          <w:lang w:val="en-US" w:eastAsia="zh-Hans"/>
        </w:rPr>
        <w:t>随机抽样</w:t>
      </w:r>
      <w:r>
        <w:rPr>
          <w:rFonts w:hint="eastAsia" w:ascii="仿宋" w:hAnsi="仿宋" w:eastAsia="仿宋" w:cs="仿宋"/>
          <w:color w:val="000000"/>
          <w:sz w:val="24"/>
          <w:highlight w:val="none"/>
        </w:rPr>
        <w:t>检验，</w:t>
      </w:r>
      <w:r>
        <w:rPr>
          <w:rFonts w:hint="eastAsia" w:ascii="仿宋" w:hAnsi="仿宋" w:eastAsia="仿宋" w:cs="仿宋"/>
          <w:color w:val="000000"/>
          <w:sz w:val="24"/>
          <w:highlight w:val="none"/>
          <w:lang w:val="en-US" w:eastAsia="zh-Hans"/>
        </w:rPr>
        <w:t>检验结果直接作为判定</w:t>
      </w:r>
      <w:r>
        <w:rPr>
          <w:rFonts w:hint="eastAsia" w:ascii="仿宋" w:hAnsi="仿宋" w:eastAsia="仿宋" w:cs="仿宋"/>
          <w:color w:val="000000"/>
          <w:sz w:val="24"/>
          <w:highlight w:val="none"/>
          <w:lang w:val="en-US" w:eastAsia="zh-CN"/>
        </w:rPr>
        <w:t>乙方</w:t>
      </w:r>
      <w:r>
        <w:rPr>
          <w:rFonts w:hint="eastAsia" w:ascii="仿宋" w:hAnsi="仿宋" w:eastAsia="仿宋" w:cs="仿宋"/>
          <w:color w:val="000000"/>
          <w:sz w:val="24"/>
          <w:highlight w:val="none"/>
          <w:lang w:val="en-US" w:eastAsia="zh-Hans"/>
        </w:rPr>
        <w:t>交付货物质量是否符合约定即法律规定的依据</w:t>
      </w:r>
      <w:r>
        <w:rPr>
          <w:rFonts w:hint="default" w:ascii="仿宋" w:hAnsi="仿宋" w:eastAsia="仿宋" w:cs="仿宋"/>
          <w:color w:val="000000"/>
          <w:sz w:val="24"/>
          <w:highlight w:val="none"/>
          <w:lang w:eastAsia="zh-Hans"/>
        </w:rPr>
        <w:t>；</w:t>
      </w:r>
      <w:r>
        <w:rPr>
          <w:rFonts w:hint="eastAsia" w:ascii="仿宋" w:hAnsi="仿宋" w:eastAsia="仿宋" w:cs="仿宋"/>
          <w:color w:val="000000"/>
          <w:sz w:val="24"/>
          <w:highlight w:val="none"/>
        </w:rPr>
        <w:t>如果任何被检测或测试的物资不能满足技术规格的要求，</w:t>
      </w:r>
      <w:r>
        <w:rPr>
          <w:rFonts w:hint="eastAsia" w:ascii="仿宋" w:hAnsi="仿宋" w:eastAsia="仿宋" w:cs="仿宋"/>
          <w:color w:val="000000"/>
          <w:sz w:val="24"/>
          <w:highlight w:val="none"/>
          <w:lang w:val="en-US" w:eastAsia="zh-CN"/>
        </w:rPr>
        <w:t>乙方</w:t>
      </w:r>
      <w:r>
        <w:rPr>
          <w:rFonts w:hint="eastAsia" w:ascii="仿宋" w:hAnsi="仿宋" w:eastAsia="仿宋" w:cs="仿宋"/>
          <w:color w:val="000000"/>
          <w:sz w:val="24"/>
          <w:highlight w:val="none"/>
        </w:rPr>
        <w:t>应及时更换，或者根据</w:t>
      </w:r>
      <w:r>
        <w:rPr>
          <w:rFonts w:hint="eastAsia" w:ascii="仿宋" w:hAnsi="仿宋" w:eastAsia="仿宋" w:cs="仿宋"/>
          <w:color w:val="000000"/>
          <w:sz w:val="24"/>
          <w:highlight w:val="none"/>
          <w:lang w:val="en-US" w:eastAsia="zh-CN"/>
        </w:rPr>
        <w:t>甲方</w:t>
      </w:r>
      <w:r>
        <w:rPr>
          <w:rFonts w:hint="eastAsia" w:ascii="仿宋" w:hAnsi="仿宋" w:eastAsia="仿宋" w:cs="仿宋"/>
          <w:color w:val="000000"/>
          <w:sz w:val="24"/>
          <w:highlight w:val="none"/>
        </w:rPr>
        <w:t>要求对缺陷免费进行修复以满足技术规格的要求，并承担该部分检验费用。</w:t>
      </w:r>
    </w:p>
    <w:p w14:paraId="53DCD852">
      <w:pPr>
        <w:adjustRightInd w:val="0"/>
        <w:snapToGrid w:val="0"/>
        <w:spacing w:line="560" w:lineRule="exact"/>
        <w:ind w:firstLine="484" w:firstLineChars="202"/>
        <w:jc w:val="lef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7、</w:t>
      </w:r>
      <w:r>
        <w:rPr>
          <w:rFonts w:hint="eastAsia" w:ascii="仿宋" w:hAnsi="仿宋" w:eastAsia="仿宋" w:cs="仿宋"/>
          <w:color w:val="000000"/>
          <w:sz w:val="24"/>
          <w:highlight w:val="none"/>
          <w:lang w:val="en-US" w:eastAsia="zh-CN"/>
        </w:rPr>
        <w:t>甲方</w:t>
      </w:r>
      <w:r>
        <w:rPr>
          <w:rFonts w:hint="eastAsia" w:ascii="仿宋" w:hAnsi="仿宋" w:eastAsia="仿宋" w:cs="仿宋"/>
          <w:color w:val="000000"/>
          <w:sz w:val="24"/>
          <w:highlight w:val="none"/>
        </w:rPr>
        <w:t>在物资到达最终目的地后对物资进行检验、测试及必要时拒绝接受物资的权利应不会因为物资在从</w:t>
      </w:r>
      <w:r>
        <w:rPr>
          <w:rFonts w:hint="eastAsia" w:ascii="仿宋" w:hAnsi="仿宋" w:eastAsia="仿宋" w:cs="仿宋"/>
          <w:color w:val="000000"/>
          <w:sz w:val="24"/>
          <w:highlight w:val="none"/>
          <w:lang w:val="en-US" w:eastAsia="zh-CN"/>
        </w:rPr>
        <w:t>乙方</w:t>
      </w:r>
      <w:r>
        <w:rPr>
          <w:rFonts w:hint="eastAsia" w:ascii="仿宋" w:hAnsi="仿宋" w:eastAsia="仿宋" w:cs="仿宋"/>
          <w:color w:val="000000"/>
          <w:sz w:val="24"/>
          <w:highlight w:val="none"/>
        </w:rPr>
        <w:t>制造厂启运前通过了</w:t>
      </w:r>
      <w:r>
        <w:rPr>
          <w:rFonts w:hint="eastAsia" w:ascii="仿宋" w:hAnsi="仿宋" w:eastAsia="仿宋" w:cs="仿宋"/>
          <w:color w:val="000000"/>
          <w:sz w:val="24"/>
          <w:highlight w:val="none"/>
          <w:lang w:val="en-US" w:eastAsia="zh-CN"/>
        </w:rPr>
        <w:t>甲方</w:t>
      </w:r>
      <w:r>
        <w:rPr>
          <w:rFonts w:hint="eastAsia" w:ascii="仿宋" w:hAnsi="仿宋" w:eastAsia="仿宋" w:cs="仿宋"/>
          <w:color w:val="000000"/>
          <w:sz w:val="24"/>
          <w:highlight w:val="none"/>
        </w:rPr>
        <w:t>或其代表的检验、测试和认可而受到限制或放弃。</w:t>
      </w:r>
    </w:p>
    <w:p w14:paraId="134FDE20">
      <w:pPr>
        <w:adjustRightInd w:val="0"/>
        <w:snapToGrid w:val="0"/>
        <w:spacing w:line="560" w:lineRule="exact"/>
        <w:ind w:firstLine="484" w:firstLineChars="202"/>
        <w:jc w:val="left"/>
        <w:rPr>
          <w:rFonts w:ascii="仿宋" w:hAnsi="仿宋" w:eastAsia="仿宋" w:cs="仿宋"/>
          <w:bCs/>
          <w:color w:val="000000"/>
          <w:sz w:val="24"/>
          <w:highlight w:val="none"/>
        </w:rPr>
      </w:pPr>
      <w:r>
        <w:rPr>
          <w:rFonts w:hint="eastAsia" w:ascii="仿宋" w:hAnsi="仿宋" w:eastAsia="仿宋" w:cs="仿宋"/>
          <w:color w:val="000000"/>
          <w:sz w:val="24"/>
          <w:highlight w:val="none"/>
        </w:rPr>
        <w:t xml:space="preserve">    </w:t>
      </w:r>
      <w:r>
        <w:rPr>
          <w:rFonts w:hint="eastAsia" w:ascii="仿宋" w:hAnsi="仿宋" w:eastAsia="仿宋" w:cs="仿宋"/>
          <w:bCs/>
          <w:color w:val="000000"/>
          <w:sz w:val="24"/>
          <w:highlight w:val="none"/>
        </w:rPr>
        <w:t>8、交货日期: 以甲方</w:t>
      </w:r>
      <w:r>
        <w:rPr>
          <w:rFonts w:hint="eastAsia" w:ascii="仿宋" w:hAnsi="仿宋" w:eastAsia="仿宋" w:cs="仿宋"/>
          <w:bCs/>
          <w:color w:val="000000"/>
          <w:sz w:val="24"/>
          <w:highlight w:val="none"/>
          <w:u w:val="single"/>
        </w:rPr>
        <w:t xml:space="preserve"> </w:t>
      </w:r>
      <w:r>
        <w:rPr>
          <w:rFonts w:hint="eastAsia" w:ascii="仿宋" w:hAnsi="仿宋" w:eastAsia="仿宋" w:cs="仿宋"/>
          <w:bCs/>
          <w:color w:val="000000"/>
          <w:sz w:val="24"/>
          <w:highlight w:val="none"/>
          <w:u w:val="single"/>
          <w:lang w:val="en-US" w:eastAsia="zh-CN"/>
        </w:rPr>
        <w:t>电话</w:t>
      </w:r>
      <w:r>
        <w:rPr>
          <w:rFonts w:hint="eastAsia" w:ascii="仿宋" w:hAnsi="仿宋" w:eastAsia="仿宋" w:cs="仿宋"/>
          <w:bCs/>
          <w:color w:val="000000"/>
          <w:sz w:val="24"/>
          <w:highlight w:val="none"/>
          <w:u w:val="single"/>
        </w:rPr>
        <w:t xml:space="preserve">  </w:t>
      </w:r>
      <w:r>
        <w:rPr>
          <w:rFonts w:hint="eastAsia" w:ascii="仿宋" w:hAnsi="仿宋" w:eastAsia="仿宋" w:cs="仿宋"/>
          <w:bCs/>
          <w:color w:val="000000"/>
          <w:sz w:val="24"/>
          <w:highlight w:val="none"/>
        </w:rPr>
        <w:t>（电话/传真/书面）通知为准，以物资实际运送到合同指定地点并</w:t>
      </w:r>
      <w:r>
        <w:rPr>
          <w:rFonts w:hint="eastAsia" w:ascii="仿宋" w:hAnsi="仿宋" w:eastAsia="仿宋" w:cs="仿宋"/>
          <w:color w:val="000000"/>
          <w:sz w:val="24"/>
          <w:szCs w:val="28"/>
          <w:highlight w:val="none"/>
        </w:rPr>
        <w:t>由甲方指定人员签收</w:t>
      </w:r>
      <w:r>
        <w:rPr>
          <w:rFonts w:hint="eastAsia" w:ascii="仿宋" w:hAnsi="仿宋" w:eastAsia="仿宋" w:cs="仿宋"/>
          <w:bCs/>
          <w:color w:val="000000"/>
          <w:sz w:val="24"/>
          <w:highlight w:val="none"/>
        </w:rPr>
        <w:t>的日期为乙方的实际交货日期，并以此来确定是否构成逾期交货。</w:t>
      </w:r>
    </w:p>
    <w:p w14:paraId="14EFC6BA">
      <w:pPr>
        <w:tabs>
          <w:tab w:val="left" w:pos="567"/>
        </w:tabs>
        <w:adjustRightInd w:val="0"/>
        <w:snapToGrid w:val="0"/>
        <w:spacing w:line="560" w:lineRule="exact"/>
        <w:ind w:firstLine="540" w:firstLineChars="225"/>
        <w:rPr>
          <w:rFonts w:ascii="仿宋" w:hAnsi="仿宋" w:eastAsia="仿宋" w:cs="仿宋"/>
          <w:bCs/>
          <w:color w:val="000000"/>
          <w:sz w:val="24"/>
          <w:highlight w:val="none"/>
        </w:rPr>
      </w:pPr>
      <w:r>
        <w:rPr>
          <w:rFonts w:hint="eastAsia" w:ascii="仿宋" w:hAnsi="仿宋" w:eastAsia="仿宋" w:cs="仿宋"/>
          <w:bCs/>
          <w:color w:val="000000"/>
          <w:sz w:val="24"/>
          <w:highlight w:val="none"/>
        </w:rPr>
        <w:t>9、按甲方需用计划的要求，将本合同约定的材料保质、保量（乙方应具有应对施工高峰期和汛期的应急措施）、及时、齐备配套地供应到甲方指定地点。</w:t>
      </w:r>
    </w:p>
    <w:p w14:paraId="5AE15626">
      <w:pPr>
        <w:tabs>
          <w:tab w:val="left" w:pos="567"/>
        </w:tabs>
        <w:adjustRightInd w:val="0"/>
        <w:snapToGrid w:val="0"/>
        <w:spacing w:line="560" w:lineRule="exact"/>
        <w:ind w:firstLine="540" w:firstLineChars="225"/>
        <w:rPr>
          <w:rFonts w:ascii="仿宋" w:hAnsi="仿宋" w:eastAsia="仿宋" w:cs="仿宋"/>
          <w:bCs/>
          <w:color w:val="000000"/>
          <w:sz w:val="24"/>
          <w:highlight w:val="none"/>
        </w:rPr>
      </w:pPr>
      <w:r>
        <w:rPr>
          <w:rFonts w:hint="eastAsia" w:ascii="仿宋" w:hAnsi="仿宋" w:eastAsia="仿宋" w:cs="仿宋"/>
          <w:bCs/>
          <w:color w:val="000000"/>
          <w:sz w:val="24"/>
          <w:highlight w:val="none"/>
        </w:rPr>
        <w:t>10、乙方应全方位保证并满足甲方的材料需要，合同执行过程中乙方不得停止供货并将产品出售给其他购货单位。</w:t>
      </w:r>
    </w:p>
    <w:p w14:paraId="0B111257">
      <w:pPr>
        <w:tabs>
          <w:tab w:val="left" w:pos="567"/>
        </w:tabs>
        <w:adjustRightInd w:val="0"/>
        <w:snapToGrid w:val="0"/>
        <w:spacing w:line="560" w:lineRule="exact"/>
        <w:ind w:firstLine="480" w:firstLineChars="200"/>
        <w:rPr>
          <w:rFonts w:ascii="仿宋" w:hAnsi="仿宋" w:eastAsia="仿宋" w:cs="仿宋"/>
          <w:bCs/>
          <w:color w:val="000000"/>
          <w:sz w:val="24"/>
          <w:highlight w:val="none"/>
          <w:u w:val="single"/>
        </w:rPr>
      </w:pPr>
      <w:r>
        <w:rPr>
          <w:rFonts w:hint="eastAsia" w:ascii="仿宋" w:hAnsi="仿宋" w:eastAsia="仿宋" w:cs="仿宋"/>
          <w:color w:val="000000"/>
          <w:sz w:val="24"/>
          <w:highlight w:val="none"/>
        </w:rPr>
        <w:t>11、</w:t>
      </w:r>
      <w:r>
        <w:rPr>
          <w:rFonts w:hint="eastAsia" w:ascii="仿宋" w:hAnsi="仿宋" w:eastAsia="仿宋" w:cs="仿宋"/>
          <w:bCs/>
          <w:color w:val="000000"/>
          <w:sz w:val="24"/>
          <w:highlight w:val="none"/>
        </w:rPr>
        <w:t>乙方应以最适宜保护物资性能、质量的运输方式运送。对于物资运送到指定地点并经验收合格之前发生的一切损坏（包括外观、性能等方面）、数量损失等均由乙方自行承担。</w:t>
      </w:r>
    </w:p>
    <w:p w14:paraId="22638081">
      <w:pPr>
        <w:tabs>
          <w:tab w:val="left" w:pos="567"/>
          <w:tab w:val="left" w:pos="720"/>
          <w:tab w:val="left" w:pos="900"/>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color w:val="000000"/>
          <w:sz w:val="24"/>
          <w:highlight w:val="none"/>
        </w:rPr>
        <w:t>12、</w:t>
      </w:r>
      <w:r>
        <w:rPr>
          <w:rFonts w:hint="eastAsia" w:ascii="仿宋" w:hAnsi="仿宋" w:eastAsia="仿宋" w:cs="仿宋"/>
          <w:bCs/>
          <w:color w:val="000000"/>
          <w:sz w:val="24"/>
          <w:highlight w:val="none"/>
        </w:rPr>
        <w:t>乙方应遵守当地政府、建设单位、甲方有关现场的通道、保安、通行证的发放以及同类项目的一切法律及规定；并应遵守可能由当地政府颁发的有关物料运送现场的时限及通道的限制规定。同时，乙方不得以不清楚工地现场的情况为借口而要求延长交货期限。</w:t>
      </w:r>
    </w:p>
    <w:p w14:paraId="7A496034">
      <w:pPr>
        <w:tabs>
          <w:tab w:val="left" w:pos="567"/>
        </w:tabs>
        <w:adjustRightInd w:val="0"/>
        <w:snapToGrid w:val="0"/>
        <w:spacing w:line="560" w:lineRule="exact"/>
        <w:ind w:firstLine="480" w:firstLineChars="200"/>
        <w:rPr>
          <w:rFonts w:ascii="仿宋" w:hAnsi="仿宋" w:eastAsia="仿宋" w:cs="仿宋"/>
          <w:bCs/>
          <w:color w:val="000000"/>
          <w:sz w:val="24"/>
          <w:highlight w:val="none"/>
          <w:u w:val="single"/>
        </w:rPr>
      </w:pPr>
      <w:r>
        <w:rPr>
          <w:rFonts w:hint="eastAsia" w:ascii="仿宋" w:hAnsi="仿宋" w:eastAsia="仿宋" w:cs="仿宋"/>
          <w:color w:val="000000"/>
          <w:sz w:val="24"/>
          <w:highlight w:val="none"/>
        </w:rPr>
        <w:t>13、</w:t>
      </w:r>
      <w:r>
        <w:rPr>
          <w:rFonts w:hint="eastAsia" w:ascii="仿宋" w:hAnsi="仿宋" w:eastAsia="仿宋" w:cs="仿宋"/>
          <w:bCs/>
          <w:color w:val="000000"/>
          <w:sz w:val="24"/>
          <w:highlight w:val="none"/>
        </w:rPr>
        <w:t>乙方供应物资应根据工程进展情况需要使用前预计足够时间（必须符合甲方的要求）运抵现场，以确保甲方负责施工的工程竣工工期不会出现任何延误。</w:t>
      </w:r>
    </w:p>
    <w:p w14:paraId="4A1E5390">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14、乙方必须配合工程需用物资计划，物资计划会在工程进行中不断修订，乙方仍须在修订后的计划时间内，及时供应符合合同质量要求的物资。</w:t>
      </w:r>
    </w:p>
    <w:p w14:paraId="545B0510">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15、乙方不得将甲方所制定的物资需用计划的更改作为要求索赔的理由。</w:t>
      </w:r>
    </w:p>
    <w:p w14:paraId="219B4D5B">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16、乙方必须按甲方随时发出的通知要求的日期进行交货，若未按甲方规定时间交货，乙方将负责因此造成的损失,且甲方有权核减乙方供应量直至终止与乙方的合同。</w:t>
      </w:r>
    </w:p>
    <w:p w14:paraId="4ADF63D8">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17、乙方必须对自身出入甲方现场的人员进行安全交底，对因非甲方造成的安全事故承担全部责任。</w:t>
      </w:r>
    </w:p>
    <w:p w14:paraId="74FE15C4">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18、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14:paraId="2B371757">
      <w:pPr>
        <w:tabs>
          <w:tab w:val="left" w:pos="567"/>
        </w:tabs>
        <w:adjustRightInd w:val="0"/>
        <w:snapToGrid w:val="0"/>
        <w:spacing w:line="560" w:lineRule="exact"/>
        <w:ind w:firstLine="472" w:firstLineChars="196"/>
        <w:rPr>
          <w:rFonts w:ascii="仿宋" w:hAnsi="仿宋" w:eastAsia="仿宋" w:cs="仿宋"/>
          <w:b/>
          <w:color w:val="000000"/>
          <w:sz w:val="24"/>
          <w:highlight w:val="none"/>
        </w:rPr>
      </w:pPr>
      <w:r>
        <w:rPr>
          <w:rFonts w:hint="eastAsia" w:ascii="仿宋" w:hAnsi="仿宋" w:eastAsia="仿宋" w:cs="仿宋"/>
          <w:b/>
          <w:color w:val="000000"/>
          <w:sz w:val="24"/>
          <w:highlight w:val="none"/>
        </w:rPr>
        <w:t>五、货款的支付方式：</w:t>
      </w:r>
    </w:p>
    <w:p w14:paraId="1B5C4310">
      <w:pPr>
        <w:keepNext w:val="0"/>
        <w:keepLines w:val="0"/>
        <w:pageBreakBefore w:val="0"/>
        <w:widowControl/>
        <w:kinsoku/>
        <w:wordWrap/>
        <w:overflowPunct/>
        <w:topLinePunct w:val="0"/>
        <w:autoSpaceDE/>
        <w:autoSpaceDN/>
        <w:bidi w:val="0"/>
        <w:snapToGrid/>
        <w:spacing w:line="560" w:lineRule="exact"/>
        <w:ind w:firstLine="283" w:firstLineChars="118"/>
        <w:jc w:val="left"/>
        <w:textAlignment w:val="auto"/>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（1）项目竣工验收合格后支付至双方结算金额的100%，同时扣除应扣款项；</w:t>
      </w:r>
    </w:p>
    <w:p w14:paraId="4702B593">
      <w:pPr>
        <w:keepNext w:val="0"/>
        <w:keepLines w:val="0"/>
        <w:pageBreakBefore w:val="0"/>
        <w:widowControl/>
        <w:kinsoku/>
        <w:wordWrap/>
        <w:overflowPunct/>
        <w:topLinePunct w:val="0"/>
        <w:autoSpaceDE/>
        <w:autoSpaceDN/>
        <w:bidi w:val="0"/>
        <w:snapToGrid/>
        <w:spacing w:line="560" w:lineRule="exact"/>
        <w:ind w:firstLine="283" w:firstLineChars="118"/>
        <w:jc w:val="left"/>
        <w:textAlignment w:val="auto"/>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（2）甲方可采取银行转账、银承、保理、商票、应收账款电子凭证等方式向乙方支付工程款，且甲方不承担承兑汇票的贴现费用，由乙方自理；</w:t>
      </w:r>
    </w:p>
    <w:p w14:paraId="2F663BF9">
      <w:pPr>
        <w:keepNext w:val="0"/>
        <w:keepLines w:val="0"/>
        <w:pageBreakBefore w:val="0"/>
        <w:widowControl/>
        <w:kinsoku/>
        <w:wordWrap/>
        <w:overflowPunct/>
        <w:topLinePunct w:val="0"/>
        <w:autoSpaceDE/>
        <w:autoSpaceDN/>
        <w:bidi w:val="0"/>
        <w:snapToGrid/>
        <w:spacing w:line="560" w:lineRule="exact"/>
        <w:ind w:firstLine="283" w:firstLineChars="118"/>
        <w:jc w:val="left"/>
        <w:textAlignment w:val="auto"/>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（3）甲方支付款项前，乙方须先行向甲方提供等额、合法且有效的增值税专用发票及请款申请，否则，甲方有权拒绝付款且不承担延迟履行的法律责任。</w:t>
      </w:r>
    </w:p>
    <w:p w14:paraId="24101B2F">
      <w:pPr>
        <w:tabs>
          <w:tab w:val="left" w:pos="567"/>
        </w:tabs>
        <w:adjustRightInd w:val="0"/>
        <w:snapToGrid w:val="0"/>
        <w:spacing w:line="560" w:lineRule="exact"/>
        <w:ind w:firstLine="540" w:firstLineChars="225"/>
        <w:rPr>
          <w:rFonts w:hint="default" w:ascii="仿宋" w:hAnsi="仿宋" w:eastAsia="仿宋" w:cs="仿宋"/>
          <w:bCs/>
          <w:color w:val="000000"/>
          <w:sz w:val="24"/>
          <w:highlight w:val="none"/>
        </w:rPr>
      </w:pPr>
      <w:r>
        <w:rPr>
          <w:rFonts w:hint="eastAsia" w:ascii="仿宋" w:hAnsi="仿宋" w:eastAsia="仿宋" w:cs="仿宋"/>
          <w:bCs/>
          <w:color w:val="000000"/>
          <w:sz w:val="24"/>
          <w:highlight w:val="none"/>
        </w:rPr>
        <w:t>2、价格调整的约定：</w:t>
      </w:r>
      <w:r>
        <w:rPr>
          <w:rFonts w:hint="eastAsia" w:ascii="仿宋" w:hAnsi="仿宋" w:eastAsia="仿宋" w:cs="仿宋"/>
          <w:bCs/>
          <w:color w:val="000000"/>
          <w:sz w:val="24"/>
          <w:highlight w:val="none"/>
          <w:lang w:val="en-US" w:eastAsia="zh-CN"/>
        </w:rPr>
        <w:t>不可调整</w:t>
      </w:r>
      <w:r>
        <w:rPr>
          <w:rFonts w:hint="eastAsia" w:ascii="仿宋" w:hAnsi="仿宋" w:eastAsia="仿宋" w:cs="仿宋"/>
          <w:bCs/>
          <w:color w:val="000000"/>
          <w:sz w:val="24"/>
          <w:szCs w:val="24"/>
          <w:highlight w:val="none"/>
          <w:u w:val="none"/>
          <w:lang w:val="en-US" w:eastAsia="zh-CN"/>
        </w:rPr>
        <w:t>；</w:t>
      </w:r>
    </w:p>
    <w:p w14:paraId="4B9262DF">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ascii="仿宋" w:hAnsi="仿宋" w:eastAsia="仿宋" w:cs="仿宋"/>
          <w:bCs/>
          <w:color w:val="000000"/>
          <w:sz w:val="24"/>
          <w:highlight w:val="none"/>
        </w:rPr>
        <w:t>3、发票</w:t>
      </w:r>
    </w:p>
    <w:p w14:paraId="69AE5500">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3.1乙方属于以下第</w:t>
      </w:r>
      <w:r>
        <w:rPr>
          <w:rFonts w:hint="eastAsia" w:ascii="仿宋" w:hAnsi="仿宋" w:eastAsia="仿宋" w:cs="仿宋"/>
          <w:bCs/>
          <w:color w:val="000000"/>
          <w:sz w:val="24"/>
          <w:highlight w:val="none"/>
          <w:u w:val="single"/>
        </w:rPr>
        <w:t xml:space="preserve">  </w:t>
      </w:r>
      <w:r>
        <w:rPr>
          <w:rFonts w:ascii="仿宋" w:hAnsi="仿宋" w:eastAsia="仿宋" w:cs="仿宋"/>
          <w:bCs/>
          <w:color w:val="000000"/>
          <w:sz w:val="24"/>
          <w:highlight w:val="none"/>
          <w:u w:val="single"/>
        </w:rPr>
        <w:t xml:space="preserve">  </w:t>
      </w:r>
      <w:r>
        <w:rPr>
          <w:rFonts w:hint="eastAsia" w:ascii="仿宋" w:hAnsi="仿宋" w:eastAsia="仿宋" w:cs="仿宋"/>
          <w:bCs/>
          <w:color w:val="000000"/>
          <w:sz w:val="24"/>
          <w:highlight w:val="none"/>
          <w:u w:val="single"/>
        </w:rPr>
        <w:t xml:space="preserve">   </w:t>
      </w:r>
      <w:r>
        <w:rPr>
          <w:rFonts w:hint="eastAsia" w:ascii="仿宋" w:hAnsi="仿宋" w:eastAsia="仿宋" w:cs="仿宋"/>
          <w:bCs/>
          <w:color w:val="000000"/>
          <w:sz w:val="24"/>
          <w:highlight w:val="none"/>
        </w:rPr>
        <w:t>种纳税人：</w:t>
      </w:r>
    </w:p>
    <w:p w14:paraId="172D8DBB">
      <w:pPr>
        <w:tabs>
          <w:tab w:val="left" w:pos="567"/>
        </w:tabs>
        <w:adjustRightInd w:val="0"/>
        <w:snapToGrid w:val="0"/>
        <w:spacing w:line="560" w:lineRule="exact"/>
        <w:ind w:firstLine="840" w:firstLineChars="350"/>
        <w:rPr>
          <w:rFonts w:ascii="仿宋" w:hAnsi="仿宋" w:eastAsia="仿宋" w:cs="仿宋"/>
          <w:bCs/>
          <w:color w:val="000000"/>
          <w:sz w:val="24"/>
          <w:highlight w:val="none"/>
        </w:rPr>
      </w:pPr>
      <w:r>
        <w:rPr>
          <w:rFonts w:hint="eastAsia" w:ascii="仿宋" w:hAnsi="仿宋" w:eastAsia="仿宋" w:cs="仿宋"/>
          <w:bCs/>
          <w:color w:val="000000"/>
          <w:sz w:val="24"/>
          <w:highlight w:val="none"/>
        </w:rPr>
        <w:t xml:space="preserve">（1）一般纳税人    （2）小规模纳税人   </w:t>
      </w:r>
    </w:p>
    <w:p w14:paraId="611FAC31">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3.2乙方提供以下第</w:t>
      </w:r>
      <w:r>
        <w:rPr>
          <w:rFonts w:hint="eastAsia" w:ascii="仿宋" w:hAnsi="仿宋" w:eastAsia="仿宋" w:cs="仿宋"/>
          <w:bCs/>
          <w:color w:val="000000"/>
          <w:sz w:val="24"/>
          <w:highlight w:val="none"/>
          <w:u w:val="single"/>
        </w:rPr>
        <w:t xml:space="preserve"> </w:t>
      </w:r>
      <w:r>
        <w:rPr>
          <w:rFonts w:hint="eastAsia" w:ascii="仿宋" w:hAnsi="仿宋" w:eastAsia="仿宋" w:cs="仿宋"/>
          <w:bCs/>
          <w:color w:val="000000"/>
          <w:sz w:val="24"/>
          <w:highlight w:val="none"/>
          <w:u w:val="single"/>
          <w:lang w:eastAsia="zh-CN"/>
        </w:rPr>
        <w:t>（</w:t>
      </w:r>
      <w:r>
        <w:rPr>
          <w:rFonts w:hint="eastAsia" w:ascii="仿宋" w:hAnsi="仿宋" w:eastAsia="仿宋" w:cs="仿宋"/>
          <w:bCs/>
          <w:color w:val="000000"/>
          <w:sz w:val="24"/>
          <w:highlight w:val="none"/>
          <w:u w:val="single"/>
          <w:lang w:val="en-US" w:eastAsia="zh-CN"/>
        </w:rPr>
        <w:t>1</w:t>
      </w:r>
      <w:r>
        <w:rPr>
          <w:rFonts w:hint="eastAsia" w:ascii="仿宋" w:hAnsi="仿宋" w:eastAsia="仿宋" w:cs="仿宋"/>
          <w:bCs/>
          <w:color w:val="000000"/>
          <w:sz w:val="24"/>
          <w:highlight w:val="none"/>
          <w:u w:val="single"/>
          <w:lang w:eastAsia="zh-CN"/>
        </w:rPr>
        <w:t>）</w:t>
      </w:r>
      <w:r>
        <w:rPr>
          <w:rFonts w:hint="eastAsia" w:ascii="仿宋" w:hAnsi="仿宋" w:eastAsia="仿宋" w:cs="仿宋"/>
          <w:bCs/>
          <w:color w:val="000000"/>
          <w:sz w:val="24"/>
          <w:highlight w:val="none"/>
          <w:u w:val="single"/>
        </w:rPr>
        <w:t xml:space="preserve">   </w:t>
      </w:r>
      <w:r>
        <w:rPr>
          <w:rFonts w:hint="eastAsia" w:ascii="仿宋" w:hAnsi="仿宋" w:eastAsia="仿宋" w:cs="仿宋"/>
          <w:bCs/>
          <w:color w:val="000000"/>
          <w:sz w:val="24"/>
          <w:highlight w:val="none"/>
        </w:rPr>
        <w:t>种发票。</w:t>
      </w:r>
    </w:p>
    <w:p w14:paraId="7FDE744E">
      <w:pPr>
        <w:tabs>
          <w:tab w:val="left" w:pos="567"/>
        </w:tabs>
        <w:adjustRightInd w:val="0"/>
        <w:snapToGrid w:val="0"/>
        <w:spacing w:line="560" w:lineRule="exact"/>
        <w:ind w:firstLine="840" w:firstLineChars="350"/>
        <w:rPr>
          <w:rFonts w:ascii="仿宋" w:hAnsi="仿宋" w:eastAsia="仿宋" w:cs="仿宋"/>
          <w:bCs/>
          <w:color w:val="000000"/>
          <w:sz w:val="24"/>
          <w:highlight w:val="none"/>
        </w:rPr>
      </w:pPr>
      <w:r>
        <w:rPr>
          <w:rFonts w:hint="eastAsia" w:ascii="仿宋" w:hAnsi="仿宋" w:eastAsia="仿宋" w:cs="仿宋"/>
          <w:bCs/>
          <w:color w:val="000000"/>
          <w:sz w:val="24"/>
          <w:highlight w:val="none"/>
        </w:rPr>
        <w:t>（1）提供税率为</w:t>
      </w:r>
      <w:r>
        <w:rPr>
          <w:rFonts w:hint="eastAsia" w:ascii="仿宋" w:hAnsi="仿宋" w:eastAsia="仿宋" w:cs="仿宋"/>
          <w:bCs/>
          <w:color w:val="000000"/>
          <w:sz w:val="24"/>
          <w:highlight w:val="none"/>
          <w:u w:val="single"/>
        </w:rPr>
        <w:t xml:space="preserve"> </w:t>
      </w:r>
      <w:r>
        <w:rPr>
          <w:rFonts w:hint="eastAsia" w:ascii="仿宋" w:hAnsi="仿宋" w:eastAsia="仿宋" w:cs="仿宋"/>
          <w:bCs/>
          <w:color w:val="000000"/>
          <w:sz w:val="24"/>
          <w:highlight w:val="none"/>
          <w:u w:val="single"/>
          <w:lang w:val="en-US" w:eastAsia="zh-CN"/>
        </w:rPr>
        <w:t xml:space="preserve">13 </w:t>
      </w:r>
      <w:r>
        <w:rPr>
          <w:rFonts w:hint="eastAsia" w:ascii="仿宋" w:hAnsi="仿宋" w:eastAsia="仿宋" w:cs="仿宋"/>
          <w:bCs/>
          <w:color w:val="000000"/>
          <w:sz w:val="24"/>
          <w:highlight w:val="none"/>
          <w:u w:val="single"/>
        </w:rPr>
        <w:t xml:space="preserve"> </w:t>
      </w:r>
      <w:r>
        <w:rPr>
          <w:rFonts w:hint="eastAsia" w:ascii="仿宋" w:hAnsi="仿宋" w:eastAsia="仿宋" w:cs="仿宋"/>
          <w:bCs/>
          <w:color w:val="000000"/>
          <w:sz w:val="24"/>
          <w:highlight w:val="none"/>
        </w:rPr>
        <w:t>%的增值税专用发票；</w:t>
      </w:r>
    </w:p>
    <w:p w14:paraId="4ED8383C">
      <w:pPr>
        <w:tabs>
          <w:tab w:val="left" w:pos="567"/>
        </w:tabs>
        <w:adjustRightInd w:val="0"/>
        <w:snapToGrid w:val="0"/>
        <w:spacing w:line="560" w:lineRule="exact"/>
        <w:ind w:firstLine="840" w:firstLineChars="350"/>
        <w:rPr>
          <w:rFonts w:ascii="仿宋" w:hAnsi="仿宋" w:eastAsia="仿宋" w:cs="仿宋"/>
          <w:bCs/>
          <w:color w:val="000000"/>
          <w:sz w:val="24"/>
          <w:highlight w:val="none"/>
        </w:rPr>
      </w:pPr>
      <w:r>
        <w:rPr>
          <w:rFonts w:hint="eastAsia" w:ascii="仿宋" w:hAnsi="仿宋" w:eastAsia="仿宋" w:cs="仿宋"/>
          <w:bCs/>
          <w:color w:val="000000"/>
          <w:sz w:val="24"/>
          <w:highlight w:val="none"/>
        </w:rPr>
        <w:t>（2）提供税率为</w:t>
      </w:r>
      <w:r>
        <w:rPr>
          <w:rFonts w:hint="eastAsia" w:ascii="仿宋" w:hAnsi="仿宋" w:eastAsia="仿宋" w:cs="仿宋"/>
          <w:bCs/>
          <w:color w:val="000000"/>
          <w:sz w:val="24"/>
          <w:highlight w:val="none"/>
          <w:u w:val="single"/>
        </w:rPr>
        <w:t xml:space="preserve"> </w:t>
      </w:r>
      <w:r>
        <w:rPr>
          <w:rFonts w:hint="eastAsia" w:ascii="仿宋" w:hAnsi="仿宋" w:eastAsia="仿宋" w:cs="仿宋"/>
          <w:bCs/>
          <w:color w:val="000000"/>
          <w:sz w:val="24"/>
          <w:highlight w:val="none"/>
          <w:u w:val="single"/>
          <w:lang w:val="en-US" w:eastAsia="zh-CN"/>
        </w:rPr>
        <w:t>3</w:t>
      </w:r>
      <w:r>
        <w:rPr>
          <w:rFonts w:hint="eastAsia" w:ascii="仿宋" w:hAnsi="仿宋" w:eastAsia="仿宋" w:cs="仿宋"/>
          <w:bCs/>
          <w:color w:val="000000"/>
          <w:sz w:val="24"/>
          <w:highlight w:val="none"/>
          <w:u w:val="single"/>
        </w:rPr>
        <w:t xml:space="preserve"> </w:t>
      </w:r>
      <w:r>
        <w:rPr>
          <w:rFonts w:hint="eastAsia" w:ascii="仿宋" w:hAnsi="仿宋" w:eastAsia="仿宋" w:cs="仿宋"/>
          <w:bCs/>
          <w:color w:val="000000"/>
          <w:sz w:val="24"/>
          <w:highlight w:val="none"/>
        </w:rPr>
        <w:t>%的增值税普通发票。</w:t>
      </w:r>
    </w:p>
    <w:p w14:paraId="0C4851CD">
      <w:pPr>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3.3乙方在向甲方申请付款前，应提供与甲方确认付款金额等额的合法、有效、完整、准确的增值税发票。若乙方提供的发票不符合要求的，甲方有权拒收增值税发票，并有权暂停支付相应款项，乙方不得以此为由中止履行合同的义务。如因乙方不能按期提供发票或提供的发票不符合要求而导致付款延期的，由其自行承担后果，甲方不承担任何责任。</w:t>
      </w:r>
    </w:p>
    <w:p w14:paraId="22B51774">
      <w:pPr>
        <w:tabs>
          <w:tab w:val="left" w:pos="567"/>
        </w:tabs>
        <w:adjustRightInd w:val="0"/>
        <w:snapToGrid w:val="0"/>
        <w:spacing w:line="560" w:lineRule="exact"/>
        <w:ind w:firstLine="360" w:firstLineChars="150"/>
        <w:rPr>
          <w:rFonts w:ascii="仿宋" w:hAnsi="仿宋" w:eastAsia="仿宋" w:cs="仿宋"/>
          <w:bCs/>
          <w:color w:val="000000"/>
          <w:sz w:val="24"/>
          <w:highlight w:val="none"/>
        </w:rPr>
      </w:pPr>
      <w:r>
        <w:rPr>
          <w:rFonts w:hint="eastAsia" w:ascii="仿宋" w:hAnsi="仿宋" w:eastAsia="仿宋" w:cs="仿宋"/>
          <w:bCs/>
          <w:color w:val="000000"/>
          <w:sz w:val="24"/>
          <w:highlight w:val="none"/>
        </w:rPr>
        <w:t>3.4 若乙方未按上述约定向甲方开具足额增值税发票或因乙方原因导致提供的增值税发票甲方不能认证、抵扣的，乙方应按甲方要求采取补救措施，同时，甲方有权要求乙方支付本合同暂定总价的0.5%的违约金并承担甲方未能抵扣而产生的全部税费。</w:t>
      </w:r>
    </w:p>
    <w:p w14:paraId="4B9A3381">
      <w:pPr>
        <w:tabs>
          <w:tab w:val="left" w:pos="567"/>
        </w:tabs>
        <w:adjustRightInd w:val="0"/>
        <w:snapToGrid w:val="0"/>
        <w:spacing w:line="560" w:lineRule="exact"/>
        <w:ind w:firstLine="360" w:firstLineChars="150"/>
        <w:rPr>
          <w:rFonts w:ascii="仿宋" w:hAnsi="仿宋" w:eastAsia="仿宋" w:cs="仿宋"/>
          <w:bCs/>
          <w:color w:val="000000"/>
          <w:sz w:val="24"/>
          <w:highlight w:val="none"/>
        </w:rPr>
      </w:pPr>
      <w:r>
        <w:rPr>
          <w:rFonts w:hint="eastAsia" w:ascii="仿宋" w:hAnsi="仿宋" w:eastAsia="仿宋" w:cs="仿宋"/>
          <w:bCs/>
          <w:color w:val="000000"/>
          <w:sz w:val="24"/>
          <w:highlight w:val="none"/>
        </w:rPr>
        <w:t>3.5如果甲方丢失增值税专用发票发票联和抵扣联，则乙方必须向甲方提供专用发票记账联复印件和乙方主管税务机关出具的《丢失增值税专用发票已报税证明单》。</w:t>
      </w:r>
    </w:p>
    <w:p w14:paraId="590211BC">
      <w:pPr>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3.6若乙方纳税人身份与合同约定不符或者计税方式发生变化，并导致甲方可抵扣的进项税额减少或被税务机关要求补缴税款的，则减少的进项税额或补缴的税款应由乙方承担，甲方有权从乙方工程款中扣除。</w:t>
      </w:r>
    </w:p>
    <w:p w14:paraId="6F2106F0">
      <w:pPr>
        <w:tabs>
          <w:tab w:val="left" w:pos="567"/>
        </w:tabs>
        <w:adjustRightInd w:val="0"/>
        <w:snapToGrid w:val="0"/>
        <w:spacing w:line="560" w:lineRule="exact"/>
        <w:ind w:firstLine="360" w:firstLineChars="150"/>
        <w:rPr>
          <w:rFonts w:ascii="仿宋" w:hAnsi="仿宋" w:eastAsia="仿宋" w:cs="仿宋"/>
          <w:bCs/>
          <w:color w:val="000000"/>
          <w:sz w:val="24"/>
          <w:highlight w:val="none"/>
        </w:rPr>
      </w:pPr>
      <w:r>
        <w:rPr>
          <w:rFonts w:hint="eastAsia" w:ascii="仿宋" w:hAnsi="仿宋" w:eastAsia="仿宋" w:cs="仿宋"/>
          <w:bCs/>
          <w:color w:val="000000"/>
          <w:sz w:val="24"/>
          <w:highlight w:val="none"/>
        </w:rPr>
        <w:t>3.7若甲方从合同价款中扣除了违约金、损失赔偿额等款项的，乙方仍应按扣除前的合同金额开具增值税发票。</w:t>
      </w:r>
    </w:p>
    <w:p w14:paraId="74F7BE69">
      <w:pPr>
        <w:tabs>
          <w:tab w:val="left" w:pos="567"/>
        </w:tabs>
        <w:adjustRightInd w:val="0"/>
        <w:snapToGrid w:val="0"/>
        <w:spacing w:line="560" w:lineRule="exact"/>
        <w:ind w:firstLine="360" w:firstLineChars="150"/>
        <w:rPr>
          <w:rFonts w:ascii="仿宋" w:hAnsi="仿宋" w:eastAsia="仿宋" w:cs="仿宋"/>
          <w:bCs/>
          <w:color w:val="000000"/>
          <w:sz w:val="24"/>
          <w:highlight w:val="none"/>
        </w:rPr>
      </w:pPr>
      <w:r>
        <w:rPr>
          <w:rFonts w:hint="eastAsia" w:ascii="仿宋" w:hAnsi="仿宋" w:eastAsia="仿宋" w:cs="仿宋"/>
          <w:bCs/>
          <w:color w:val="000000"/>
          <w:sz w:val="24"/>
          <w:highlight w:val="none"/>
        </w:rPr>
        <w:t>3.8增值税发票开票信息</w:t>
      </w:r>
    </w:p>
    <w:p w14:paraId="0C70E606">
      <w:pPr>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1）</w:t>
      </w:r>
      <w:r>
        <w:rPr>
          <w:rFonts w:hint="eastAsia" w:ascii="仿宋" w:hAnsi="仿宋" w:eastAsia="仿宋" w:cs="仿宋"/>
          <w:bCs/>
          <w:color w:val="000000"/>
          <w:sz w:val="24"/>
          <w:highlight w:val="none"/>
          <w:lang w:val="en-US" w:eastAsia="zh-CN"/>
        </w:rPr>
        <w:t>甲方</w:t>
      </w:r>
      <w:r>
        <w:rPr>
          <w:rFonts w:hint="eastAsia" w:ascii="仿宋" w:hAnsi="仿宋" w:eastAsia="仿宋" w:cs="仿宋"/>
          <w:bCs/>
          <w:color w:val="000000"/>
          <w:sz w:val="24"/>
          <w:highlight w:val="none"/>
        </w:rPr>
        <w:t>增值税发票开票信息</w:t>
      </w:r>
    </w:p>
    <w:p w14:paraId="748D4585">
      <w:pPr>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 xml:space="preserve">企业名称：  ；                   </w:t>
      </w:r>
    </w:p>
    <w:p w14:paraId="44776EB7">
      <w:pPr>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 xml:space="preserve">纳税人识别号： ；                       </w:t>
      </w:r>
    </w:p>
    <w:p w14:paraId="5BF77BDB">
      <w:pPr>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 xml:space="preserve">银行账户： ；                                 </w:t>
      </w:r>
    </w:p>
    <w:p w14:paraId="35F95D80">
      <w:pPr>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 xml:space="preserve">开户银行： ；      </w:t>
      </w:r>
    </w:p>
    <w:p w14:paraId="2654EEE2">
      <w:pPr>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 xml:space="preserve">地址： ；                            </w:t>
      </w:r>
    </w:p>
    <w:p w14:paraId="139B0FB1">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 xml:space="preserve">电话： ；                       </w:t>
      </w:r>
    </w:p>
    <w:p w14:paraId="5ECC872D">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2）乙方增值税发票开票信息</w:t>
      </w:r>
    </w:p>
    <w:p w14:paraId="56B9857C">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 xml:space="preserve">企业名称：                          </w:t>
      </w:r>
    </w:p>
    <w:p w14:paraId="3E6B1439">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 xml:space="preserve">纳税人识别号：                            </w:t>
      </w:r>
    </w:p>
    <w:p w14:paraId="21D1A6EB">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 xml:space="preserve">银行账户：                              </w:t>
      </w:r>
    </w:p>
    <w:p w14:paraId="53EA4F4D">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 xml:space="preserve">开户银行：                              </w:t>
      </w:r>
    </w:p>
    <w:p w14:paraId="2FC179FD">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 xml:space="preserve">地址：                                  </w:t>
      </w:r>
    </w:p>
    <w:p w14:paraId="05B33E37">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 xml:space="preserve">电话：                                  </w:t>
      </w:r>
    </w:p>
    <w:p w14:paraId="24BE0B43">
      <w:pPr>
        <w:tabs>
          <w:tab w:val="left" w:pos="567"/>
        </w:tabs>
        <w:adjustRightInd w:val="0"/>
        <w:snapToGrid w:val="0"/>
        <w:spacing w:line="560" w:lineRule="exact"/>
        <w:ind w:firstLine="482" w:firstLineChars="200"/>
        <w:rPr>
          <w:rFonts w:ascii="仿宋" w:hAnsi="仿宋" w:eastAsia="仿宋" w:cs="仿宋"/>
          <w:b/>
          <w:color w:val="000000"/>
          <w:sz w:val="24"/>
          <w:highlight w:val="none"/>
        </w:rPr>
      </w:pPr>
      <w:r>
        <w:rPr>
          <w:rFonts w:hint="eastAsia" w:ascii="仿宋" w:hAnsi="仿宋" w:eastAsia="仿宋" w:cs="仿宋"/>
          <w:b/>
          <w:color w:val="000000"/>
          <w:sz w:val="24"/>
          <w:highlight w:val="none"/>
        </w:rPr>
        <w:t>六、物资验收</w:t>
      </w:r>
    </w:p>
    <w:p w14:paraId="1D6B2B6A">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1、甲方有权利对进场的物资进行各种形式的检验，乙方必须充分配合，且检验结果直接作为判定乙方交付产品质量的依据。检验费由乙方垫付，如检验不合格，检验费用由乙方承担；如检验合格，检验费用由甲方承担。</w:t>
      </w:r>
    </w:p>
    <w:p w14:paraId="52936503">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2、乙方必须在交货前对材料的品质、规格等作细致的检验，材料到工地现场卸车后，如发现其技术规格、性能与合同或甲方发出的供货单上的规格不符，质量低劣及受损坏等情况，应按以下情况分别处理：</w:t>
      </w:r>
    </w:p>
    <w:p w14:paraId="2636AD8C">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（1）材料的规格、质量等级与要求不符，甲方可拒绝接收，由乙方自费运出施工现场并重新采购供货，乙方承担重新采购供货的经济支出及对因此造成的甲方及工程损失负责赔偿。</w:t>
      </w:r>
    </w:p>
    <w:p w14:paraId="58D233B6">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（2）因时间晚于甲方通知乙方的计划进货日期的，乙方须承担因此造成的甲方延误工期损失及其他因此可能发生的损失。</w:t>
      </w:r>
    </w:p>
    <w:p w14:paraId="3CF183ED">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3、乙方负责提供给甲方所需物资的质量保证书、合格证，并由甲方指定负责验收人在送货单上签字作为收货依据。</w:t>
      </w:r>
    </w:p>
    <w:p w14:paraId="70039617">
      <w:pPr>
        <w:tabs>
          <w:tab w:val="left" w:pos="567"/>
        </w:tabs>
        <w:adjustRightInd w:val="0"/>
        <w:snapToGrid w:val="0"/>
        <w:spacing w:line="560" w:lineRule="exact"/>
        <w:ind w:firstLine="482" w:firstLineChars="200"/>
        <w:rPr>
          <w:rFonts w:ascii="仿宋" w:hAnsi="仿宋" w:eastAsia="仿宋" w:cs="仿宋"/>
          <w:b/>
          <w:bCs/>
          <w:color w:val="000000"/>
          <w:sz w:val="24"/>
          <w:highlight w:val="none"/>
        </w:rPr>
      </w:pPr>
      <w:r>
        <w:rPr>
          <w:rFonts w:hint="eastAsia" w:ascii="仿宋" w:hAnsi="仿宋" w:eastAsia="仿宋" w:cs="仿宋"/>
          <w:b/>
          <w:bCs/>
          <w:color w:val="000000"/>
          <w:sz w:val="24"/>
          <w:highlight w:val="none"/>
        </w:rPr>
        <w:t>七、违约责任</w:t>
      </w:r>
    </w:p>
    <w:p w14:paraId="162172B9">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1、本合同履行过程中，乙方无正当理由不能按照合同规定或进度计划的要求按时交货，应在相关情况发生后</w:t>
      </w:r>
      <w:r>
        <w:rPr>
          <w:rFonts w:hint="eastAsia" w:ascii="仿宋" w:hAnsi="仿宋" w:eastAsia="仿宋" w:cs="仿宋"/>
          <w:bCs/>
          <w:color w:val="000000"/>
          <w:sz w:val="24"/>
          <w:highlight w:val="none"/>
          <w:lang w:val="en-US" w:eastAsia="zh-CN"/>
        </w:rPr>
        <w:t>12</w:t>
      </w:r>
      <w:r>
        <w:rPr>
          <w:rFonts w:hint="eastAsia" w:ascii="仿宋" w:hAnsi="仿宋" w:eastAsia="仿宋" w:cs="仿宋"/>
          <w:bCs/>
          <w:color w:val="000000"/>
          <w:sz w:val="24"/>
          <w:highlight w:val="none"/>
        </w:rPr>
        <w:t xml:space="preserve">小时内以传真、电报、电传等书面形式将拖延的事实、原因以及可能拖延的期限和理由通知甲方。甲方在收到乙方通知后，有权视具体情况决定采取如下方式之一进行处理： </w:t>
      </w:r>
    </w:p>
    <w:p w14:paraId="382637AA">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（1）</w:t>
      </w:r>
      <w:r>
        <w:rPr>
          <w:rFonts w:hint="eastAsia" w:ascii="仿宋" w:hAnsi="仿宋" w:eastAsia="仿宋" w:cs="仿宋"/>
          <w:bCs/>
          <w:color w:val="000000"/>
          <w:sz w:val="24"/>
          <w:highlight w:val="none"/>
          <w:lang w:val="en-US" w:eastAsia="zh-Hans"/>
        </w:rPr>
        <w:t>有甲方书面确认的</w:t>
      </w:r>
      <w:r>
        <w:rPr>
          <w:rFonts w:hint="eastAsia" w:ascii="仿宋" w:hAnsi="仿宋" w:eastAsia="仿宋" w:cs="仿宋"/>
          <w:bCs/>
          <w:color w:val="000000"/>
          <w:sz w:val="24"/>
          <w:highlight w:val="none"/>
        </w:rPr>
        <w:t>变更、修改合同</w:t>
      </w:r>
      <w:r>
        <w:rPr>
          <w:rFonts w:hint="eastAsia" w:ascii="仿宋" w:hAnsi="仿宋" w:eastAsia="仿宋" w:cs="仿宋"/>
          <w:bCs/>
          <w:color w:val="000000"/>
          <w:sz w:val="24"/>
          <w:highlight w:val="none"/>
          <w:lang w:val="en-US" w:eastAsia="zh-Hans"/>
        </w:rPr>
        <w:t>内容的</w:t>
      </w:r>
      <w:r>
        <w:rPr>
          <w:rFonts w:hint="eastAsia" w:ascii="仿宋" w:hAnsi="仿宋" w:eastAsia="仿宋" w:cs="仿宋"/>
          <w:bCs/>
          <w:color w:val="000000"/>
          <w:sz w:val="24"/>
          <w:highlight w:val="none"/>
        </w:rPr>
        <w:t>，</w:t>
      </w:r>
      <w:r>
        <w:rPr>
          <w:rFonts w:hint="eastAsia" w:ascii="仿宋" w:hAnsi="仿宋" w:eastAsia="仿宋" w:cs="仿宋"/>
          <w:bCs/>
          <w:color w:val="000000"/>
          <w:sz w:val="24"/>
          <w:highlight w:val="none"/>
          <w:lang w:val="en-US" w:eastAsia="zh-Hans"/>
        </w:rPr>
        <w:t>按照甲方书面确认相应</w:t>
      </w:r>
      <w:r>
        <w:rPr>
          <w:rFonts w:hint="eastAsia" w:ascii="仿宋" w:hAnsi="仿宋" w:eastAsia="仿宋" w:cs="仿宋"/>
          <w:bCs/>
          <w:color w:val="000000"/>
          <w:sz w:val="24"/>
          <w:highlight w:val="none"/>
        </w:rPr>
        <w:t>延长交货时间；</w:t>
      </w:r>
    </w:p>
    <w:p w14:paraId="78D629EE">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（2）解除或部分解除合同，另行采购相关货物。</w:t>
      </w:r>
    </w:p>
    <w:p w14:paraId="113FFA19">
      <w:pPr>
        <w:tabs>
          <w:tab w:val="left" w:pos="567"/>
        </w:tabs>
        <w:adjustRightInd w:val="0"/>
        <w:snapToGrid w:val="0"/>
        <w:spacing w:line="560" w:lineRule="exact"/>
        <w:ind w:firstLine="480" w:firstLineChars="200"/>
        <w:rPr>
          <w:rFonts w:hint="eastAsia" w:ascii="仿宋" w:hAnsi="仿宋" w:eastAsia="仿宋" w:cs="仿宋"/>
          <w:color w:val="000000"/>
          <w:sz w:val="24"/>
          <w:highlight w:val="none"/>
        </w:rPr>
      </w:pPr>
      <w:r>
        <w:rPr>
          <w:rFonts w:hint="eastAsia" w:ascii="仿宋" w:hAnsi="仿宋" w:eastAsia="仿宋" w:cs="仿宋"/>
          <w:bCs/>
          <w:color w:val="000000"/>
          <w:sz w:val="24"/>
          <w:highlight w:val="none"/>
        </w:rPr>
        <w:t>无论采取何种方式，除本合同约定的不可抗力外，乙方均应承担相应的误期违约责任，并赔偿由此给甲方造成的一切损失。</w:t>
      </w:r>
      <w:r>
        <w:rPr>
          <w:rFonts w:hint="eastAsia" w:ascii="仿宋" w:hAnsi="仿宋" w:eastAsia="仿宋" w:cs="仿宋"/>
          <w:color w:val="000000"/>
          <w:sz w:val="24"/>
          <w:highlight w:val="none"/>
        </w:rPr>
        <w:t>误期违约金比率为:每迟交1日,按合同总金额的1%计算；误期违约金最高不超过合同总金额的10%。</w:t>
      </w:r>
    </w:p>
    <w:p w14:paraId="07AC28EE">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在甲方另行采购部分或全部货物的情况下，乙方承担由此造成的价格差额，该差额为以下费用之较高者：</w:t>
      </w:r>
    </w:p>
    <w:p w14:paraId="4326575E">
      <w:pPr>
        <w:tabs>
          <w:tab w:val="left" w:pos="567"/>
        </w:tabs>
        <w:adjustRightInd w:val="0"/>
        <w:snapToGrid w:val="0"/>
        <w:spacing w:line="560" w:lineRule="exact"/>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bCs/>
          <w:color w:val="000000"/>
          <w:sz w:val="24"/>
          <w:highlight w:val="none"/>
        </w:rPr>
        <w:t>（1）</w:t>
      </w:r>
      <w:r>
        <w:rPr>
          <w:rFonts w:hint="eastAsia" w:ascii="仿宋" w:hAnsi="仿宋" w:eastAsia="仿宋" w:cs="仿宋"/>
          <w:color w:val="000000"/>
          <w:sz w:val="24"/>
          <w:highlight w:val="none"/>
        </w:rPr>
        <w:t>当前市场价与相应合同价格之间的差额</w:t>
      </w:r>
      <w:r>
        <w:rPr>
          <w:rFonts w:hint="eastAsia" w:ascii="仿宋" w:hAnsi="仿宋" w:eastAsia="仿宋" w:cs="仿宋"/>
          <w:color w:val="000000"/>
          <w:sz w:val="24"/>
          <w:highlight w:val="none"/>
          <w:lang w:eastAsia="zh-CN"/>
        </w:rPr>
        <w:t>；</w:t>
      </w:r>
    </w:p>
    <w:p w14:paraId="0153C9FA">
      <w:pPr>
        <w:tabs>
          <w:tab w:val="left" w:pos="567"/>
        </w:tabs>
        <w:adjustRightInd w:val="0"/>
        <w:snapToGrid w:val="0"/>
        <w:spacing w:line="560" w:lineRule="exact"/>
        <w:ind w:firstLine="480" w:firstLineChars="200"/>
        <w:rPr>
          <w:rFonts w:ascii="仿宋" w:hAnsi="仿宋" w:eastAsia="仿宋" w:cs="仿宋"/>
          <w:color w:val="000000"/>
          <w:sz w:val="24"/>
          <w:highlight w:val="none"/>
        </w:rPr>
      </w:pPr>
      <w:r>
        <w:rPr>
          <w:rFonts w:hint="eastAsia" w:ascii="仿宋" w:hAnsi="仿宋" w:eastAsia="仿宋" w:cs="仿宋"/>
          <w:bCs/>
          <w:color w:val="000000"/>
          <w:sz w:val="24"/>
          <w:highlight w:val="none"/>
        </w:rPr>
        <w:t>（2）</w:t>
      </w:r>
      <w:r>
        <w:rPr>
          <w:rFonts w:hint="eastAsia" w:ascii="仿宋" w:hAnsi="仿宋" w:eastAsia="仿宋" w:cs="仿宋"/>
          <w:color w:val="000000"/>
          <w:sz w:val="24"/>
          <w:highlight w:val="none"/>
        </w:rPr>
        <w:t>甲方在接受货物时发生的实际费用与本合同价格之间的差额。</w:t>
      </w:r>
    </w:p>
    <w:p w14:paraId="37763AED">
      <w:pPr>
        <w:adjustRightInd w:val="0"/>
        <w:snapToGrid w:val="0"/>
        <w:spacing w:line="56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误期违约金从甲方应向乙方支付的合同价款中扣除，不足部分另行追偿。</w:t>
      </w:r>
    </w:p>
    <w:p w14:paraId="60CC2A65">
      <w:pPr>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lang w:val="en-US" w:eastAsia="zh-CN"/>
        </w:rPr>
        <w:t>2</w:t>
      </w:r>
      <w:r>
        <w:rPr>
          <w:rFonts w:hint="eastAsia" w:ascii="仿宋" w:hAnsi="仿宋" w:eastAsia="仿宋" w:cs="仿宋"/>
          <w:bCs/>
          <w:color w:val="000000"/>
          <w:sz w:val="24"/>
          <w:highlight w:val="none"/>
        </w:rPr>
        <w:t>、合同签订后，乙方不能履约或不能全部履约，甲方有权解除合同，并赔偿因此而造成甲方的一切损失。</w:t>
      </w:r>
    </w:p>
    <w:p w14:paraId="0FD3DA5B">
      <w:pPr>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lang w:val="en-US" w:eastAsia="zh-CN"/>
        </w:rPr>
        <w:t>3</w:t>
      </w:r>
      <w:r>
        <w:rPr>
          <w:rFonts w:hint="eastAsia" w:ascii="仿宋" w:hAnsi="仿宋" w:eastAsia="仿宋" w:cs="仿宋"/>
          <w:bCs/>
          <w:color w:val="000000"/>
          <w:sz w:val="24"/>
          <w:highlight w:val="none"/>
        </w:rPr>
        <w:t>、乙方所交物资的品种、型号、规格不符合合同规定或者甲方另行发给乙方通知的，如果甲方同意利用，双方协商</w:t>
      </w:r>
      <w:r>
        <w:rPr>
          <w:rFonts w:hint="eastAsia" w:ascii="仿宋" w:hAnsi="仿宋" w:eastAsia="仿宋" w:cs="仿宋"/>
          <w:bCs/>
          <w:color w:val="000000"/>
          <w:sz w:val="24"/>
          <w:highlight w:val="none"/>
          <w:lang w:val="en-US" w:eastAsia="zh-Hans"/>
        </w:rPr>
        <w:t>书面</w:t>
      </w:r>
      <w:r>
        <w:rPr>
          <w:rFonts w:hint="eastAsia" w:ascii="仿宋" w:hAnsi="仿宋" w:eastAsia="仿宋" w:cs="仿宋"/>
          <w:bCs/>
          <w:color w:val="000000"/>
          <w:sz w:val="24"/>
          <w:highlight w:val="none"/>
        </w:rPr>
        <w:t>定价；如果甲方不能利用或者不同意利用或者双方对于价格不能协商一致的，乙方应负责按甲方要求的时间予以退换，并承担由此造成甲方费用增加、工期延误等损失；如不能予以退换的，按不能交货处理。</w:t>
      </w:r>
    </w:p>
    <w:p w14:paraId="50909B8B">
      <w:pPr>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lang w:val="en-US" w:eastAsia="zh-CN"/>
        </w:rPr>
        <w:t>4</w:t>
      </w:r>
      <w:r>
        <w:rPr>
          <w:rFonts w:hint="eastAsia" w:ascii="仿宋" w:hAnsi="仿宋" w:eastAsia="仿宋" w:cs="仿宋"/>
          <w:bCs/>
          <w:color w:val="000000"/>
          <w:sz w:val="24"/>
          <w:highlight w:val="none"/>
        </w:rPr>
        <w:t>、对于因乙方运输方式不合理造成货物到达指定地点之后货物的损失或丢失，乙方应承担全部责任。</w:t>
      </w:r>
    </w:p>
    <w:p w14:paraId="2B30CE40">
      <w:pPr>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lang w:val="en-US" w:eastAsia="zh-CN"/>
        </w:rPr>
        <w:t>5</w:t>
      </w:r>
      <w:r>
        <w:rPr>
          <w:rFonts w:hint="eastAsia" w:ascii="仿宋" w:hAnsi="仿宋" w:eastAsia="仿宋" w:cs="仿宋"/>
          <w:bCs/>
          <w:color w:val="000000"/>
          <w:sz w:val="24"/>
          <w:highlight w:val="none"/>
        </w:rPr>
        <w:t>、乙方对甲方造成的经济损失，甲方有权从乙方的余款中扣除，余款不足抵补损失时，应由乙方补齐差额部分。</w:t>
      </w:r>
    </w:p>
    <w:p w14:paraId="6D4E4D1F">
      <w:pPr>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lang w:val="en-US" w:eastAsia="zh-CN"/>
        </w:rPr>
        <w:t>6</w:t>
      </w:r>
      <w:r>
        <w:rPr>
          <w:rFonts w:hint="eastAsia" w:ascii="仿宋" w:hAnsi="仿宋" w:eastAsia="仿宋" w:cs="仿宋"/>
          <w:bCs/>
          <w:color w:val="000000"/>
          <w:sz w:val="24"/>
          <w:highlight w:val="none"/>
        </w:rPr>
        <w:t>、乙方因物资包装不符合合同规定，必须返修或重新包装的，乙方应负责返修或重新包装，并承担支出的费用。甲方不要求返修或重新包装而要求赔偿损失的，乙方应当偿付甲方该不合格包装物低于合格包装物的价值部分。因包装不符合规定造成货物损坏或灭失的，乙方应当负责赔偿。</w:t>
      </w:r>
    </w:p>
    <w:p w14:paraId="1D80291E">
      <w:pPr>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lang w:val="en-US" w:eastAsia="zh-CN"/>
        </w:rPr>
        <w:t>7</w:t>
      </w:r>
      <w:r>
        <w:rPr>
          <w:rFonts w:hint="eastAsia" w:ascii="仿宋" w:hAnsi="仿宋" w:eastAsia="仿宋" w:cs="仿宋"/>
          <w:bCs/>
          <w:color w:val="000000"/>
          <w:sz w:val="24"/>
          <w:highlight w:val="none"/>
        </w:rPr>
        <w:t>、乙方装卸、运输过程中的一切人员、机械、车辆安全，均全部由乙方承担，乙方应按国家及地方规定办理相关手续及各类保险、责任自负。</w:t>
      </w:r>
    </w:p>
    <w:p w14:paraId="0EA42918">
      <w:pPr>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lang w:val="en-US" w:eastAsia="zh-CN"/>
        </w:rPr>
        <w:t>8</w:t>
      </w:r>
      <w:r>
        <w:rPr>
          <w:rFonts w:hint="eastAsia" w:ascii="仿宋" w:hAnsi="仿宋" w:eastAsia="仿宋" w:cs="仿宋"/>
          <w:bCs/>
          <w:color w:val="000000"/>
          <w:sz w:val="24"/>
          <w:highlight w:val="none"/>
        </w:rPr>
        <w:t>、乙方装卸、运输中应做相应的环保措施（符合国家环保要求），因环保造成的一切罚款由乙方自行承担。</w:t>
      </w:r>
    </w:p>
    <w:p w14:paraId="6D18044F">
      <w:pPr>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lang w:val="en-US" w:eastAsia="zh-CN"/>
        </w:rPr>
        <w:t>9</w:t>
      </w:r>
      <w:r>
        <w:rPr>
          <w:rFonts w:hint="eastAsia" w:ascii="仿宋" w:hAnsi="仿宋" w:eastAsia="仿宋" w:cs="仿宋"/>
          <w:bCs/>
          <w:color w:val="000000"/>
          <w:sz w:val="24"/>
          <w:highlight w:val="none"/>
        </w:rPr>
        <w:t>、乙方应保证其对货物具有所有权或受委托代理销售权，并向甲方出具相关凭证。乙方亦保证交付的货物不附有任何担保权或其他留置权。如第三方向甲方主张任何权利，乙方负责与第三方交涉并承担由此引起的一切法律责任和费用及赔偿甲方的一切损失。</w:t>
      </w:r>
    </w:p>
    <w:p w14:paraId="4C3EEC6A">
      <w:pPr>
        <w:tabs>
          <w:tab w:val="left" w:pos="567"/>
        </w:tabs>
        <w:adjustRightInd w:val="0"/>
        <w:snapToGrid w:val="0"/>
        <w:spacing w:line="560" w:lineRule="exact"/>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1</w:t>
      </w:r>
      <w:r>
        <w:rPr>
          <w:rFonts w:hint="eastAsia" w:ascii="仿宋" w:hAnsi="仿宋" w:eastAsia="仿宋" w:cs="仿宋"/>
          <w:bCs/>
          <w:color w:val="000000"/>
          <w:sz w:val="24"/>
          <w:highlight w:val="none"/>
          <w:lang w:val="en-US" w:eastAsia="zh-CN"/>
        </w:rPr>
        <w:t>0</w:t>
      </w:r>
      <w:r>
        <w:rPr>
          <w:rFonts w:hint="eastAsia" w:ascii="仿宋" w:hAnsi="仿宋" w:eastAsia="仿宋" w:cs="仿宋"/>
          <w:bCs/>
          <w:color w:val="000000"/>
          <w:sz w:val="24"/>
          <w:highlight w:val="none"/>
        </w:rPr>
        <w:t xml:space="preserve">、因乙方原因导致法院、仲裁委、公安局等政府部门向甲方出具协助执行通知书等法律文书或因乙方对外发生诉讼或仲裁案件，而对本项目产生影响的，甲方有权解除合同，并且乙方应立即退场，否则乙方需向甲方承担合同额的5%的违约金。  </w:t>
      </w:r>
    </w:p>
    <w:p w14:paraId="7D91CA59">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1</w:t>
      </w:r>
      <w:r>
        <w:rPr>
          <w:rFonts w:hint="eastAsia" w:ascii="仿宋" w:hAnsi="仿宋" w:eastAsia="仿宋" w:cs="仿宋"/>
          <w:bCs/>
          <w:color w:val="000000"/>
          <w:sz w:val="24"/>
          <w:highlight w:val="none"/>
          <w:lang w:val="en-US" w:eastAsia="zh-CN"/>
        </w:rPr>
        <w:t>1</w:t>
      </w:r>
      <w:r>
        <w:rPr>
          <w:rFonts w:hint="eastAsia"/>
          <w:highlight w:val="none"/>
        </w:rPr>
        <w:t>、</w:t>
      </w:r>
      <w:r>
        <w:rPr>
          <w:rFonts w:hint="eastAsia" w:ascii="仿宋" w:hAnsi="仿宋" w:eastAsia="仿宋" w:cs="仿宋"/>
          <w:bCs/>
          <w:color w:val="000000"/>
          <w:sz w:val="24"/>
          <w:highlight w:val="none"/>
        </w:rPr>
        <w:t>乙方存在任何违约行为，除按照前述约定承担违约责任外，还应赔偿甲方全部损失，甲方损失包括但不限于甲方为主张权利产生的诉讼费、保全费、保全保险费、律师费、差旅费等全部费用。</w:t>
      </w:r>
    </w:p>
    <w:p w14:paraId="0DAD1C18">
      <w:pPr>
        <w:tabs>
          <w:tab w:val="left" w:pos="567"/>
        </w:tabs>
        <w:adjustRightInd w:val="0"/>
        <w:snapToGrid w:val="0"/>
        <w:spacing w:line="560" w:lineRule="exact"/>
        <w:ind w:firstLine="482" w:firstLineChars="200"/>
        <w:rPr>
          <w:rFonts w:ascii="仿宋" w:hAnsi="仿宋" w:eastAsia="仿宋" w:cs="仿宋"/>
          <w:b/>
          <w:bCs/>
          <w:color w:val="000000"/>
          <w:sz w:val="24"/>
          <w:highlight w:val="none"/>
        </w:rPr>
      </w:pPr>
      <w:r>
        <w:rPr>
          <w:rFonts w:hint="eastAsia" w:ascii="仿宋" w:hAnsi="仿宋" w:eastAsia="仿宋" w:cs="仿宋"/>
          <w:b/>
          <w:bCs/>
          <w:color w:val="000000"/>
          <w:sz w:val="24"/>
          <w:highlight w:val="none"/>
        </w:rPr>
        <w:t>八、不可抗力</w:t>
      </w:r>
    </w:p>
    <w:p w14:paraId="12ADB693">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1、不可抗力事故系指供货双方在缔结合同时所不能预见的，并且对其发生及后果无法避免和无法克服的事件。签约双方任一方由于受到诸如战争、严重火灾、洪水、台风、地震、严重传染性疾病等不可抗力事件的影响而不能执行合同时，履行合同的期限应予以延长，则延长的期限应相当于事件所影响的时间。</w:t>
      </w:r>
    </w:p>
    <w:p w14:paraId="15022490">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 xml:space="preserve"> 2、受阻一方应在不可抗力事件发生后尽快用电报、传真或电传等书面形式通知对方，并于事故发生后14日内将有关当局出具的证明文件用特快专递或挂号信寄给对方审阅确认；同时，受阻方应尽可能继续履行合同义务，以及寻求采取合理的方案履行不受不可抗力影响的其他事项。一旦不可抗力事故的影响可能导致工期延误或持续</w:t>
      </w:r>
      <w:r>
        <w:rPr>
          <w:rFonts w:hint="eastAsia" w:ascii="仿宋" w:hAnsi="仿宋" w:eastAsia="仿宋" w:cs="仿宋"/>
          <w:bCs/>
          <w:color w:val="000000"/>
          <w:sz w:val="24"/>
          <w:highlight w:val="none"/>
          <w:u w:val="single"/>
        </w:rPr>
        <w:t xml:space="preserve"> </w:t>
      </w:r>
      <w:r>
        <w:rPr>
          <w:rFonts w:hint="eastAsia" w:ascii="仿宋" w:hAnsi="仿宋" w:eastAsia="仿宋" w:cs="仿宋"/>
          <w:bCs/>
          <w:color w:val="000000"/>
          <w:sz w:val="24"/>
          <w:highlight w:val="none"/>
          <w:u w:val="single"/>
          <w:lang w:val="en-US" w:eastAsia="zh-CN"/>
        </w:rPr>
        <w:t>30</w:t>
      </w:r>
      <w:r>
        <w:rPr>
          <w:rFonts w:hint="eastAsia" w:ascii="仿宋" w:hAnsi="仿宋" w:eastAsia="仿宋" w:cs="仿宋"/>
          <w:bCs/>
          <w:color w:val="000000"/>
          <w:sz w:val="24"/>
          <w:highlight w:val="none"/>
          <w:u w:val="single"/>
        </w:rPr>
        <w:t xml:space="preserve"> </w:t>
      </w:r>
      <w:r>
        <w:rPr>
          <w:rFonts w:hint="eastAsia" w:ascii="仿宋" w:hAnsi="仿宋" w:eastAsia="仿宋" w:cs="仿宋"/>
          <w:bCs/>
          <w:color w:val="000000"/>
          <w:sz w:val="24"/>
          <w:highlight w:val="none"/>
        </w:rPr>
        <w:t>日以上时，双方可通过友好协商在合理的时间内达成终止合同或进一步履行合同的协议。</w:t>
      </w:r>
    </w:p>
    <w:p w14:paraId="7AAFCEA0">
      <w:pPr>
        <w:tabs>
          <w:tab w:val="left" w:pos="567"/>
        </w:tabs>
        <w:adjustRightInd w:val="0"/>
        <w:snapToGrid w:val="0"/>
        <w:spacing w:line="560" w:lineRule="exact"/>
        <w:ind w:firstLine="836" w:firstLineChars="347"/>
        <w:rPr>
          <w:rFonts w:hint="eastAsia" w:ascii="仿宋" w:hAnsi="仿宋" w:eastAsia="仿宋" w:cs="仿宋"/>
          <w:b/>
          <w:color w:val="000000"/>
          <w:sz w:val="24"/>
          <w:highlight w:val="none"/>
          <w:lang w:val="en-US" w:eastAsia="zh-CN"/>
        </w:rPr>
      </w:pPr>
      <w:r>
        <w:rPr>
          <w:rFonts w:hint="eastAsia" w:ascii="仿宋" w:hAnsi="仿宋" w:eastAsia="仿宋" w:cs="仿宋"/>
          <w:b/>
          <w:color w:val="000000"/>
          <w:sz w:val="24"/>
          <w:highlight w:val="none"/>
        </w:rPr>
        <w:t>九、</w:t>
      </w:r>
      <w:r>
        <w:rPr>
          <w:rFonts w:hint="eastAsia" w:ascii="仿宋" w:hAnsi="仿宋" w:eastAsia="仿宋" w:cs="仿宋"/>
          <w:b/>
          <w:color w:val="000000"/>
          <w:sz w:val="24"/>
          <w:highlight w:val="none"/>
          <w:lang w:val="en-US" w:eastAsia="zh-CN"/>
        </w:rPr>
        <w:t>担保</w:t>
      </w:r>
    </w:p>
    <w:p w14:paraId="15B8B901">
      <w:pPr>
        <w:tabs>
          <w:tab w:val="left" w:pos="567"/>
        </w:tabs>
        <w:adjustRightInd w:val="0"/>
        <w:snapToGrid w:val="0"/>
        <w:spacing w:line="560" w:lineRule="exact"/>
        <w:ind w:firstLine="480" w:firstLineChars="200"/>
        <w:rPr>
          <w:rFonts w:hint="eastAsia" w:ascii="仿宋" w:hAnsi="仿宋" w:eastAsia="仿宋" w:cs="仿宋"/>
          <w:b/>
          <w:color w:val="000000"/>
          <w:sz w:val="24"/>
          <w:highlight w:val="none"/>
          <w:lang w:val="en-US" w:eastAsia="zh-CN"/>
        </w:rPr>
      </w:pPr>
      <w:r>
        <w:rPr>
          <w:rFonts w:hint="eastAsia" w:ascii="仿宋" w:hAnsi="仿宋" w:eastAsia="仿宋" w:cs="仿宋"/>
          <w:bCs/>
          <w:color w:val="000000"/>
          <w:sz w:val="24"/>
          <w:highlight w:val="none"/>
          <w:lang w:val="en-US" w:eastAsia="zh-CN"/>
        </w:rPr>
        <w:t>/</w:t>
      </w:r>
    </w:p>
    <w:p w14:paraId="1B2E9A16">
      <w:pPr>
        <w:tabs>
          <w:tab w:val="left" w:pos="567"/>
        </w:tabs>
        <w:adjustRightInd w:val="0"/>
        <w:snapToGrid w:val="0"/>
        <w:spacing w:line="560" w:lineRule="exact"/>
        <w:ind w:firstLine="836" w:firstLineChars="347"/>
        <w:rPr>
          <w:rFonts w:ascii="仿宋" w:hAnsi="仿宋" w:eastAsia="仿宋" w:cs="仿宋"/>
          <w:b/>
          <w:bCs/>
          <w:color w:val="000000"/>
          <w:sz w:val="24"/>
          <w:highlight w:val="none"/>
        </w:rPr>
      </w:pPr>
      <w:r>
        <w:rPr>
          <w:rFonts w:hint="eastAsia" w:ascii="仿宋" w:hAnsi="仿宋" w:eastAsia="仿宋" w:cs="仿宋"/>
          <w:b/>
          <w:color w:val="000000"/>
          <w:sz w:val="24"/>
          <w:highlight w:val="none"/>
        </w:rPr>
        <w:t>十</w:t>
      </w:r>
      <w:r>
        <w:rPr>
          <w:rFonts w:hint="eastAsia" w:ascii="仿宋" w:hAnsi="仿宋" w:eastAsia="仿宋" w:cs="仿宋"/>
          <w:b/>
          <w:color w:val="000000"/>
          <w:sz w:val="24"/>
          <w:highlight w:val="none"/>
          <w:lang w:eastAsia="zh-CN"/>
        </w:rPr>
        <w:t>、</w:t>
      </w:r>
      <w:r>
        <w:rPr>
          <w:rFonts w:hint="eastAsia" w:ascii="仿宋" w:hAnsi="仿宋" w:eastAsia="仿宋" w:cs="仿宋"/>
          <w:b/>
          <w:bCs/>
          <w:color w:val="000000"/>
          <w:sz w:val="24"/>
          <w:highlight w:val="none"/>
        </w:rPr>
        <w:t>争议解决</w:t>
      </w:r>
    </w:p>
    <w:p w14:paraId="5283DFA1">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发生争议后，双方首先协商解决，协商不成时，提交甲方住所地有管辖权的人民法院解决。本合同关于争议的解决方式的约定具有最终效力，双方以后发生的补充合同、会议纪要、往来函件、发料单、结算单等涉及到争议解决方式的，均不得对抗此约定。</w:t>
      </w:r>
    </w:p>
    <w:p w14:paraId="6AD48275">
      <w:pPr>
        <w:tabs>
          <w:tab w:val="left" w:pos="567"/>
        </w:tabs>
        <w:adjustRightInd w:val="0"/>
        <w:snapToGrid w:val="0"/>
        <w:spacing w:line="560" w:lineRule="exact"/>
        <w:ind w:firstLine="723" w:firstLineChars="300"/>
        <w:rPr>
          <w:rFonts w:ascii="仿宋" w:hAnsi="仿宋" w:eastAsia="仿宋" w:cs="仿宋"/>
          <w:b/>
          <w:bCs/>
          <w:color w:val="000000"/>
          <w:sz w:val="24"/>
          <w:highlight w:val="none"/>
        </w:rPr>
      </w:pPr>
      <w:r>
        <w:rPr>
          <w:rFonts w:hint="eastAsia" w:ascii="仿宋" w:hAnsi="仿宋" w:eastAsia="仿宋" w:cs="仿宋"/>
          <w:b/>
          <w:color w:val="000000"/>
          <w:sz w:val="24"/>
          <w:highlight w:val="none"/>
        </w:rPr>
        <w:t>十</w:t>
      </w:r>
      <w:r>
        <w:rPr>
          <w:rFonts w:hint="eastAsia" w:ascii="仿宋" w:hAnsi="仿宋" w:eastAsia="仿宋" w:cs="仿宋"/>
          <w:b/>
          <w:color w:val="000000"/>
          <w:sz w:val="24"/>
          <w:highlight w:val="none"/>
          <w:lang w:val="en-US" w:eastAsia="zh-CN"/>
        </w:rPr>
        <w:t>一</w:t>
      </w:r>
      <w:r>
        <w:rPr>
          <w:rFonts w:hint="eastAsia" w:ascii="仿宋" w:hAnsi="仿宋" w:eastAsia="仿宋" w:cs="仿宋"/>
          <w:b/>
          <w:color w:val="000000"/>
          <w:sz w:val="24"/>
          <w:highlight w:val="none"/>
        </w:rPr>
        <w:t>、</w:t>
      </w:r>
      <w:r>
        <w:rPr>
          <w:rFonts w:hint="eastAsia" w:ascii="仿宋" w:hAnsi="仿宋" w:eastAsia="仿宋" w:cs="仿宋"/>
          <w:b/>
          <w:bCs/>
          <w:color w:val="000000"/>
          <w:sz w:val="24"/>
          <w:highlight w:val="none"/>
        </w:rPr>
        <w:t>合同效力及份数</w:t>
      </w:r>
    </w:p>
    <w:p w14:paraId="266E11D3">
      <w:pPr>
        <w:adjustRightInd w:val="0"/>
        <w:snapToGrid w:val="0"/>
        <w:spacing w:line="5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本合同在双方盖章后生效。</w:t>
      </w:r>
    </w:p>
    <w:p w14:paraId="281BE103">
      <w:pPr>
        <w:adjustRightInd w:val="0"/>
        <w:snapToGrid w:val="0"/>
        <w:spacing w:line="5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本合同印刷字体内容若有修改变动（包括但不限于删除、增添、涂改等），必须经双方在修改处同时盖章确认方可生效，否则仍以原印刷字体内容为准。</w:t>
      </w:r>
    </w:p>
    <w:p w14:paraId="5F9BFB73">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2、本合同一式</w:t>
      </w:r>
      <w:r>
        <w:rPr>
          <w:rFonts w:hint="eastAsia" w:ascii="仿宋" w:hAnsi="仿宋" w:eastAsia="仿宋" w:cs="仿宋"/>
          <w:bCs/>
          <w:color w:val="000000"/>
          <w:sz w:val="24"/>
          <w:highlight w:val="none"/>
          <w:u w:val="single"/>
        </w:rPr>
        <w:t>陆</w:t>
      </w:r>
      <w:r>
        <w:rPr>
          <w:rFonts w:hint="eastAsia" w:ascii="仿宋" w:hAnsi="仿宋" w:eastAsia="仿宋" w:cs="仿宋"/>
          <w:bCs/>
          <w:color w:val="000000"/>
          <w:sz w:val="24"/>
          <w:highlight w:val="none"/>
        </w:rPr>
        <w:t>份，具有同等法律效力，甲方执</w:t>
      </w:r>
      <w:r>
        <w:rPr>
          <w:rFonts w:hint="eastAsia" w:ascii="仿宋" w:hAnsi="仿宋" w:eastAsia="仿宋" w:cs="仿宋"/>
          <w:bCs/>
          <w:color w:val="000000"/>
          <w:sz w:val="24"/>
          <w:highlight w:val="none"/>
          <w:u w:val="single"/>
        </w:rPr>
        <w:t>肆</w:t>
      </w:r>
      <w:r>
        <w:rPr>
          <w:rFonts w:hint="eastAsia" w:ascii="仿宋" w:hAnsi="仿宋" w:eastAsia="仿宋" w:cs="仿宋"/>
          <w:bCs/>
          <w:color w:val="000000"/>
          <w:sz w:val="24"/>
          <w:highlight w:val="none"/>
        </w:rPr>
        <w:t>份，乙方</w:t>
      </w:r>
      <w:r>
        <w:rPr>
          <w:rFonts w:hint="eastAsia" w:ascii="仿宋" w:hAnsi="仿宋" w:eastAsia="仿宋" w:cs="仿宋"/>
          <w:bCs/>
          <w:color w:val="000000"/>
          <w:sz w:val="24"/>
          <w:highlight w:val="none"/>
          <w:u w:val="single"/>
        </w:rPr>
        <w:t>贰</w:t>
      </w:r>
      <w:r>
        <w:rPr>
          <w:rFonts w:hint="eastAsia" w:ascii="仿宋" w:hAnsi="仿宋" w:eastAsia="仿宋" w:cs="仿宋"/>
          <w:bCs/>
          <w:color w:val="000000"/>
          <w:sz w:val="24"/>
          <w:highlight w:val="none"/>
        </w:rPr>
        <w:t>份。</w:t>
      </w:r>
    </w:p>
    <w:p w14:paraId="6F00D47B">
      <w:pPr>
        <w:tabs>
          <w:tab w:val="left" w:pos="567"/>
        </w:tabs>
        <w:adjustRightInd w:val="0"/>
        <w:snapToGrid w:val="0"/>
        <w:spacing w:line="56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3、本合同未尽事宜，由甲乙双方另行协商。</w:t>
      </w:r>
    </w:p>
    <w:p w14:paraId="4C55490A">
      <w:pPr>
        <w:tabs>
          <w:tab w:val="left" w:pos="567"/>
        </w:tabs>
        <w:adjustRightInd w:val="0"/>
        <w:snapToGrid w:val="0"/>
        <w:spacing w:line="560" w:lineRule="exact"/>
        <w:ind w:firstLine="723" w:firstLineChars="300"/>
        <w:rPr>
          <w:rFonts w:ascii="仿宋" w:hAnsi="仿宋" w:eastAsia="仿宋" w:cs="仿宋"/>
          <w:b/>
          <w:color w:val="000000"/>
          <w:sz w:val="24"/>
          <w:highlight w:val="none"/>
        </w:rPr>
      </w:pPr>
      <w:r>
        <w:rPr>
          <w:rFonts w:hint="eastAsia" w:ascii="仿宋" w:hAnsi="仿宋" w:eastAsia="仿宋" w:cs="仿宋"/>
          <w:b/>
          <w:color w:val="000000"/>
          <w:sz w:val="24"/>
          <w:highlight w:val="none"/>
        </w:rPr>
        <w:t>十</w:t>
      </w:r>
      <w:r>
        <w:rPr>
          <w:rFonts w:hint="eastAsia" w:ascii="仿宋" w:hAnsi="仿宋" w:eastAsia="仿宋" w:cs="仿宋"/>
          <w:b/>
          <w:color w:val="000000"/>
          <w:sz w:val="24"/>
          <w:highlight w:val="none"/>
          <w:lang w:val="en-US" w:eastAsia="zh-CN"/>
        </w:rPr>
        <w:t>二</w:t>
      </w:r>
      <w:r>
        <w:rPr>
          <w:rFonts w:hint="eastAsia" w:ascii="仿宋" w:hAnsi="仿宋" w:eastAsia="仿宋" w:cs="仿宋"/>
          <w:b/>
          <w:color w:val="000000"/>
          <w:sz w:val="24"/>
          <w:highlight w:val="none"/>
        </w:rPr>
        <w:t>、其他约定</w:t>
      </w:r>
    </w:p>
    <w:p w14:paraId="21FFE61B">
      <w:pPr>
        <w:spacing w:line="56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000000"/>
          <w:sz w:val="24"/>
          <w:highlight w:val="none"/>
        </w:rPr>
        <w:t>合同权利或义务的转移需经相对方书面同意,否则该转让行为对相对方不发生法律效</w:t>
      </w:r>
      <w:r>
        <w:rPr>
          <w:rFonts w:hint="eastAsia" w:ascii="仿宋" w:hAnsi="仿宋" w:eastAsia="仿宋" w:cs="仿宋"/>
          <w:bCs/>
          <w:color w:val="auto"/>
          <w:sz w:val="24"/>
          <w:highlight w:val="none"/>
        </w:rPr>
        <w:t>力。</w:t>
      </w:r>
    </w:p>
    <w:p w14:paraId="3CA9477F">
      <w:pPr>
        <w:tabs>
          <w:tab w:val="left" w:pos="567"/>
        </w:tabs>
        <w:adjustRightInd w:val="0"/>
        <w:snapToGrid w:val="0"/>
        <w:spacing w:line="360" w:lineRule="exact"/>
        <w:ind w:firstLine="480" w:firstLineChars="200"/>
        <w:rPr>
          <w:rFonts w:hint="eastAsia" w:ascii="仿宋" w:hAnsi="仿宋" w:eastAsia="仿宋" w:cs="仿宋"/>
          <w:color w:val="000000"/>
          <w:sz w:val="24"/>
          <w:highlight w:val="none"/>
        </w:rPr>
      </w:pPr>
    </w:p>
    <w:p w14:paraId="63216D5A">
      <w:pPr>
        <w:tabs>
          <w:tab w:val="left" w:pos="567"/>
        </w:tabs>
        <w:adjustRightInd w:val="0"/>
        <w:snapToGrid w:val="0"/>
        <w:spacing w:line="360" w:lineRule="exact"/>
        <w:ind w:firstLine="480" w:firstLineChars="200"/>
        <w:rPr>
          <w:rFonts w:hint="eastAsia" w:ascii="仿宋" w:hAnsi="仿宋" w:eastAsia="仿宋" w:cs="仿宋"/>
          <w:color w:val="000000"/>
          <w:sz w:val="24"/>
          <w:highlight w:val="none"/>
        </w:rPr>
      </w:pPr>
    </w:p>
    <w:p w14:paraId="05D01510">
      <w:pPr>
        <w:tabs>
          <w:tab w:val="left" w:pos="567"/>
        </w:tabs>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甲    方：（盖章）　 　            乙    方：（盖章） </w:t>
      </w:r>
    </w:p>
    <w:p w14:paraId="0252D1CE">
      <w:pPr>
        <w:tabs>
          <w:tab w:val="left" w:pos="567"/>
        </w:tabs>
        <w:adjustRightInd w:val="0"/>
        <w:snapToGrid w:val="0"/>
        <w:spacing w:line="360" w:lineRule="exact"/>
        <w:ind w:firstLine="2" w:firstLineChars="1"/>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    </w:t>
      </w:r>
    </w:p>
    <w:p w14:paraId="69CA10D0">
      <w:pPr>
        <w:tabs>
          <w:tab w:val="left" w:pos="567"/>
        </w:tabs>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法定代表人：                       法定代表人：</w:t>
      </w:r>
    </w:p>
    <w:p w14:paraId="66A2AB97">
      <w:pPr>
        <w:tabs>
          <w:tab w:val="left" w:pos="567"/>
        </w:tabs>
        <w:adjustRightInd w:val="0"/>
        <w:snapToGrid w:val="0"/>
        <w:spacing w:line="360" w:lineRule="exact"/>
        <w:ind w:left="778" w:hanging="777" w:hangingChars="324"/>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    或授权委托人：                     或授权委托人：</w:t>
      </w:r>
    </w:p>
    <w:p w14:paraId="25D68C35">
      <w:pPr>
        <w:tabs>
          <w:tab w:val="left" w:pos="567"/>
        </w:tabs>
        <w:adjustRightInd w:val="0"/>
        <w:snapToGrid w:val="0"/>
        <w:spacing w:line="360" w:lineRule="exact"/>
        <w:ind w:left="778" w:hanging="777" w:hangingChars="324"/>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                                 </w:t>
      </w:r>
    </w:p>
    <w:p w14:paraId="1E7BDD7A">
      <w:pPr>
        <w:widowControl/>
        <w:spacing w:line="360" w:lineRule="auto"/>
        <w:ind w:firstLine="480" w:firstLineChars="200"/>
        <w:outlineLvl w:val="9"/>
        <w:rPr>
          <w:rFonts w:hint="eastAsia" w:hAnsi="宋体" w:cs="宋体"/>
          <w:b/>
          <w:color w:val="auto"/>
          <w:sz w:val="32"/>
          <w:szCs w:val="32"/>
          <w:highlight w:val="none"/>
        </w:rPr>
      </w:pPr>
      <w:r>
        <w:rPr>
          <w:rFonts w:hint="eastAsia" w:ascii="仿宋" w:hAnsi="仿宋" w:eastAsia="仿宋" w:cs="仿宋"/>
          <w:color w:val="000000"/>
          <w:sz w:val="24"/>
          <w:highlight w:val="none"/>
        </w:rPr>
        <w:t xml:space="preserve">时间：   年  月  日                时间：   年  月  日 </w:t>
      </w:r>
    </w:p>
    <w:p w14:paraId="4FF65EF2">
      <w:bookmarkStart w:id="9" w:name="_GoBack"/>
      <w:bookmarkEnd w:id="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73DB7">
    <w:pPr>
      <w:pStyle w:val="4"/>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7A828D2">
                          <w:pPr>
                            <w:pStyle w:val="4"/>
                          </w:pPr>
                          <w:r>
                            <w:fldChar w:fldCharType="begin"/>
                          </w:r>
                          <w:r>
                            <w:instrText xml:space="preserve"> PAGE  \* MERGEFORMAT </w:instrText>
                          </w:r>
                          <w:r>
                            <w:fldChar w:fldCharType="separate"/>
                          </w:r>
                          <w:r>
                            <w:t>62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CX2GkzAEAAKcDAAAOAAAAAAAAAAEAIAAAAB4BAABkcnMvZTJv&#10;RG9jLnhtbFBLBQYAAAAABgAGAFkBAABcBQAAAAA=&#10;">
              <v:fill on="f" focussize="0,0"/>
              <v:stroke on="f"/>
              <v:imagedata o:title=""/>
              <o:lock v:ext="edit" aspectratio="f"/>
              <v:textbox inset="0mm,0mm,0mm,0mm" style="mso-fit-shape-to-text:t;">
                <w:txbxContent>
                  <w:p w14:paraId="07A828D2">
                    <w:pPr>
                      <w:pStyle w:val="4"/>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87CD9">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FADBD">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5D912">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3F761B"/>
    <w:multiLevelType w:val="singleLevel"/>
    <w:tmpl w:val="243F761B"/>
    <w:lvl w:ilvl="0" w:tentative="0">
      <w:start w:val="1"/>
      <w:numFmt w:val="chineseCounting"/>
      <w:suff w:val="nothing"/>
      <w:lvlText w:val="%1、"/>
      <w:lvlJc w:val="left"/>
      <w:rPr>
        <w:rFonts w:hint="eastAsia"/>
      </w:rPr>
    </w:lvl>
  </w:abstractNum>
  <w:abstractNum w:abstractNumId="1">
    <w:nsid w:val="7F799585"/>
    <w:multiLevelType w:val="singleLevel"/>
    <w:tmpl w:val="7F799585"/>
    <w:lvl w:ilvl="0" w:tentative="0">
      <w:start w:val="1"/>
      <w:numFmt w:val="decimal"/>
      <w:suff w:val="nothing"/>
      <w:lvlText w:val="%1、"/>
      <w:lvlJc w:val="left"/>
      <w:pPr>
        <w:ind w:left="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4B7989"/>
    <w:rsid w:val="204B7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widowControl w:val="0"/>
      <w:spacing w:before="260" w:after="260" w:line="415" w:lineRule="auto"/>
      <w:outlineLvl w:val="1"/>
    </w:pPr>
    <w:rPr>
      <w:rFonts w:ascii="Arial" w:hAnsi="Arial" w:eastAsia="黑体"/>
      <w:b/>
      <w:bCs/>
      <w:kern w:val="0"/>
      <w:sz w:val="32"/>
      <w:szCs w:val="32"/>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footer"/>
    <w:basedOn w:val="1"/>
    <w:next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6">
    <w:name w:val="Body Text First Indent"/>
    <w:basedOn w:val="3"/>
    <w:next w:val="7"/>
    <w:semiHidden/>
    <w:qFormat/>
    <w:uiPriority w:val="0"/>
    <w:pPr>
      <w:ind w:firstLine="420" w:firstLineChars="100"/>
    </w:pPr>
    <w:rPr>
      <w:rFonts w:eastAsia="Times New Roman"/>
    </w:rPr>
  </w:style>
  <w:style w:type="paragraph" w:customStyle="1" w:styleId="7">
    <w:name w:val="段落正文"/>
    <w:basedOn w:val="1"/>
    <w:qFormat/>
    <w:uiPriority w:val="0"/>
    <w:pPr>
      <w:spacing w:before="50" w:beforeLines="50" w:line="360" w:lineRule="auto"/>
      <w:ind w:firstLine="200" w:firstLineChars="200"/>
    </w:pPr>
    <w:rPr>
      <w:spacing w:val="2"/>
      <w:sz w:val="24"/>
      <w:szCs w:val="20"/>
    </w:rPr>
  </w:style>
  <w:style w:type="character" w:customStyle="1" w:styleId="10">
    <w:name w:val="font11"/>
    <w:basedOn w:val="9"/>
    <w:qFormat/>
    <w:uiPriority w:val="0"/>
    <w:rPr>
      <w:rFonts w:hint="eastAsia"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file:///C:\Users\ADMINI~1\AppData\Local\Temp\ksohtml19756\wps3.jpg" TargetMode="Externa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file:///C:\Users\ADMINI~1\AppData\Local\Temp\ksohtml19756\wps5.jpg" TargetMode="External"/><Relationship Id="rId12" Type="http://schemas.openxmlformats.org/officeDocument/2006/relationships/image" Target="media/image3.jpeg"/><Relationship Id="rId11" Type="http://schemas.openxmlformats.org/officeDocument/2006/relationships/image" Target="file:///C:\Users\ADMINI~1\AppData\Local\Temp\ksohtml19756\wps4.jpg" TargetMode="External"/><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2025-06-20T10:07:00Z</dcterms:created>
  <dc:creator>三岁羡</dc:creator>
  <cp:lastModifiedBy>三岁羡</cp:lastModifiedBy>
  <dcterms:modified xsi:type="dcterms:W3CDTF">2025-06-20T10:07:41Z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535B4840123144338003BD9B3494033B_11</vt:lpwstr>
  </property>
  <property fmtid="{D5CDD505-2E9C-101B-9397-08002B2CF9AE}" pid="4" name="KSOTemplateDocerSaveRecord">
    <vt:lpwstr>eyJoZGlkIjoiZjZlZTYxZGMxZWQ3NTVmYTllZGZjNjRlZGUxMTRhNDUiLCJ1c2VySWQiOiI0OTA4MDEyMzMifQ==</vt:lpwstr>
  </property>
</Properties>
</file>