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EC0CD">
      <w:pPr>
        <w:spacing w:line="360" w:lineRule="auto"/>
        <w:ind w:firstLine="0" w:firstLineChars="0"/>
        <w:jc w:val="center"/>
        <w:outlineLvl w:val="1"/>
        <w:rPr>
          <w:rFonts w:hint="default" w:ascii="Times New Roman" w:hAnsi="Times New Roman" w:eastAsia="仿宋" w:cs="Times New Roman"/>
          <w:b/>
          <w:color w:val="auto"/>
          <w:sz w:val="32"/>
          <w:szCs w:val="32"/>
          <w:highlight w:val="none"/>
          <w:u w:val="none"/>
        </w:rPr>
      </w:pPr>
      <w:r>
        <w:rPr>
          <w:rFonts w:hint="default" w:ascii="Times New Roman" w:hAnsi="Times New Roman" w:eastAsia="仿宋" w:cs="Times New Roman"/>
          <w:b/>
          <w:color w:val="auto"/>
          <w:sz w:val="32"/>
          <w:szCs w:val="32"/>
          <w:highlight w:val="none"/>
          <w:lang w:val="en-US" w:eastAsia="zh-CN"/>
        </w:rPr>
        <w:t>一、</w:t>
      </w:r>
      <w:r>
        <w:rPr>
          <w:rFonts w:hint="default" w:ascii="Times New Roman" w:hAnsi="Times New Roman" w:eastAsia="仿宋" w:cs="Times New Roman"/>
          <w:b/>
          <w:color w:val="auto"/>
          <w:sz w:val="32"/>
          <w:szCs w:val="32"/>
          <w:highlight w:val="none"/>
        </w:rPr>
        <w:t>授权委托书</w:t>
      </w:r>
    </w:p>
    <w:p w14:paraId="65274189">
      <w:pPr>
        <w:spacing w:line="460" w:lineRule="exact"/>
        <w:ind w:firstLine="600" w:firstLineChars="250"/>
        <w:rPr>
          <w:rFonts w:hint="default" w:ascii="Times New Roman" w:hAnsi="Times New Roman" w:eastAsia="仿宋" w:cs="Times New Roman"/>
          <w:color w:val="auto"/>
          <w:sz w:val="24"/>
          <w:highlight w:val="none"/>
          <w:u w:val="single"/>
        </w:rPr>
      </w:pPr>
    </w:p>
    <w:p w14:paraId="6089ADB7">
      <w:pPr>
        <w:keepNext w:val="0"/>
        <w:keepLines w:val="0"/>
        <w:pageBreakBefore w:val="0"/>
        <w:widowControl w:val="0"/>
        <w:tabs>
          <w:tab w:val="center" w:pos="4873"/>
          <w:tab w:val="left" w:pos="7327"/>
        </w:tabs>
        <w:kinsoku/>
        <w:wordWrap/>
        <w:overflowPunct/>
        <w:topLinePunct w:val="0"/>
        <w:autoSpaceDE/>
        <w:autoSpaceDN/>
        <w:bidi w:val="0"/>
        <w:adjustRightInd/>
        <w:snapToGrid/>
        <w:spacing w:line="570" w:lineRule="exact"/>
        <w:ind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u w:val="none"/>
        </w:rPr>
        <w:t xml:space="preserve"> 公司</w:t>
      </w:r>
      <w:r>
        <w:rPr>
          <w:rFonts w:hint="default" w:ascii="Times New Roman" w:hAnsi="Times New Roman" w:eastAsia="仿宋" w:cs="Times New Roman"/>
          <w:color w:val="auto"/>
          <w:sz w:val="28"/>
          <w:szCs w:val="28"/>
          <w:highlight w:val="none"/>
        </w:rPr>
        <w:t>（以下简称“本公司”），系根据中华人民共和国法律设立并存续的公司，其注册地在</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。根据本公司做出的决定，谨郑重授权</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（姓名、职务）为本公司正式合法的授权代理人，该代理人有权代表本公司参加</w:t>
      </w:r>
      <w:r>
        <w:rPr>
          <w:rFonts w:hint="default" w:ascii="Times New Roman" w:hAnsi="Times New Roman" w:eastAsia="仿宋" w:cs="Times New Roman"/>
          <w:b w:val="0"/>
          <w:bCs w:val="0"/>
          <w:color w:val="auto"/>
          <w:kern w:val="2"/>
          <w:sz w:val="28"/>
          <w:szCs w:val="28"/>
          <w:highlight w:val="none"/>
          <w:u w:val="single"/>
          <w:lang w:eastAsia="zh-CN"/>
        </w:rPr>
        <w:t>（</w:t>
      </w:r>
      <w:r>
        <w:rPr>
          <w:rFonts w:hint="default" w:ascii="Times New Roman" w:hAnsi="Times New Roman" w:eastAsia="仿宋" w:cs="Times New Roman"/>
          <w:b w:val="0"/>
          <w:bCs w:val="0"/>
          <w:color w:val="auto"/>
          <w:kern w:val="2"/>
          <w:sz w:val="28"/>
          <w:szCs w:val="28"/>
          <w:highlight w:val="none"/>
          <w:u w:val="single"/>
          <w:lang w:val="en-US" w:eastAsia="zh-CN"/>
        </w:rPr>
        <w:t>项目名称</w:t>
      </w:r>
      <w:r>
        <w:rPr>
          <w:rFonts w:hint="default" w:ascii="Times New Roman" w:hAnsi="Times New Roman" w:eastAsia="仿宋" w:cs="Times New Roman"/>
          <w:b w:val="0"/>
          <w:bCs w:val="0"/>
          <w:color w:val="auto"/>
          <w:kern w:val="2"/>
          <w:sz w:val="28"/>
          <w:szCs w:val="28"/>
          <w:highlight w:val="none"/>
          <w:u w:val="single"/>
          <w:lang w:eastAsia="zh-CN"/>
        </w:rPr>
        <w:t>）</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sz w:val="28"/>
          <w:szCs w:val="28"/>
          <w:highlight w:val="none"/>
          <w:lang w:val="en-US" w:eastAsia="zh-CN"/>
        </w:rPr>
        <w:t>询价</w:t>
      </w:r>
      <w:r>
        <w:rPr>
          <w:rFonts w:hint="default" w:ascii="Times New Roman" w:hAnsi="Times New Roman" w:eastAsia="仿宋" w:cs="Times New Roman"/>
          <w:color w:val="auto"/>
          <w:sz w:val="28"/>
          <w:szCs w:val="28"/>
          <w:highlight w:val="none"/>
        </w:rPr>
        <w:t>活动，代理人在</w:t>
      </w:r>
      <w:r>
        <w:rPr>
          <w:rFonts w:hint="default" w:ascii="Times New Roman" w:hAnsi="Times New Roman" w:eastAsia="仿宋" w:cs="Times New Roman"/>
          <w:color w:val="auto"/>
          <w:sz w:val="28"/>
          <w:szCs w:val="28"/>
          <w:highlight w:val="none"/>
          <w:lang w:val="en-US" w:eastAsia="zh-CN"/>
        </w:rPr>
        <w:t>询价</w:t>
      </w:r>
      <w:r>
        <w:rPr>
          <w:rFonts w:hint="default" w:ascii="Times New Roman" w:hAnsi="Times New Roman" w:eastAsia="仿宋" w:cs="Times New Roman"/>
          <w:color w:val="auto"/>
          <w:sz w:val="28"/>
          <w:szCs w:val="28"/>
          <w:highlight w:val="none"/>
        </w:rPr>
        <w:t>及合同执行过程中，代表本公司处理一切与之有关的事务，本公司均予以认可。</w:t>
      </w:r>
    </w:p>
    <w:p w14:paraId="76F33CCD">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代理人无权转委托。</w:t>
      </w:r>
    </w:p>
    <w:p w14:paraId="7DA5F94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本授权书于</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年</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月</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日签字生效，特此声明。</w:t>
      </w:r>
    </w:p>
    <w:p w14:paraId="1F8920FD">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 w:cs="Times New Roman"/>
          <w:color w:val="auto"/>
          <w:sz w:val="28"/>
          <w:szCs w:val="28"/>
          <w:highlight w:val="none"/>
        </w:rPr>
      </w:pPr>
    </w:p>
    <w:p w14:paraId="50DAB966">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响应人名称</w:t>
      </w:r>
      <w:r>
        <w:rPr>
          <w:rFonts w:hint="default" w:ascii="Times New Roman" w:hAnsi="Times New Roman" w:eastAsia="仿宋" w:cs="Times New Roman"/>
          <w:color w:val="auto"/>
          <w:sz w:val="28"/>
          <w:szCs w:val="28"/>
          <w:highlight w:val="none"/>
        </w:rPr>
        <w:t xml:space="preserve">（盖章）：  </w:t>
      </w:r>
    </w:p>
    <w:p w14:paraId="19E1F354">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 w:cs="Times New Roman"/>
          <w:color w:val="auto"/>
          <w:sz w:val="28"/>
          <w:szCs w:val="28"/>
          <w:highlight w:val="none"/>
        </w:rPr>
      </w:pPr>
    </w:p>
    <w:p w14:paraId="251B96EE">
      <w:pPr>
        <w:keepNext w:val="0"/>
        <w:keepLines w:val="0"/>
        <w:pageBreakBefore w:val="0"/>
        <w:widowControl w:val="0"/>
        <w:kinsoku/>
        <w:wordWrap/>
        <w:overflowPunct/>
        <w:topLinePunct w:val="0"/>
        <w:autoSpaceDE/>
        <w:autoSpaceDN/>
        <w:bidi w:val="0"/>
        <w:adjustRightInd/>
        <w:snapToGrid/>
        <w:spacing w:line="570" w:lineRule="exact"/>
        <w:ind w:firstLine="420" w:firstLineChars="15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法定代表人（签字）：</w:t>
      </w:r>
    </w:p>
    <w:p w14:paraId="71F792FA">
      <w:pPr>
        <w:keepNext w:val="0"/>
        <w:keepLines w:val="0"/>
        <w:pageBreakBefore w:val="0"/>
        <w:widowControl w:val="0"/>
        <w:kinsoku/>
        <w:wordWrap/>
        <w:overflowPunct/>
        <w:topLinePunct w:val="0"/>
        <w:autoSpaceDE/>
        <w:autoSpaceDN/>
        <w:bidi w:val="0"/>
        <w:adjustRightInd/>
        <w:snapToGrid/>
        <w:spacing w:line="570" w:lineRule="exact"/>
        <w:ind w:firstLine="700" w:firstLineChars="25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身份证号：</w:t>
      </w:r>
    </w:p>
    <w:p w14:paraId="2910A930">
      <w:pPr>
        <w:keepNext w:val="0"/>
        <w:keepLines w:val="0"/>
        <w:pageBreakBefore w:val="0"/>
        <w:widowControl w:val="0"/>
        <w:kinsoku/>
        <w:wordWrap/>
        <w:overflowPunct/>
        <w:topLinePunct w:val="0"/>
        <w:autoSpaceDE/>
        <w:autoSpaceDN/>
        <w:bidi w:val="0"/>
        <w:adjustRightInd/>
        <w:snapToGrid/>
        <w:spacing w:line="570" w:lineRule="exact"/>
        <w:ind w:firstLine="420" w:firstLineChars="150"/>
        <w:textAlignment w:val="auto"/>
        <w:rPr>
          <w:rFonts w:hint="default" w:ascii="Times New Roman" w:hAnsi="Times New Roman" w:eastAsia="仿宋" w:cs="Times New Roman"/>
          <w:color w:val="auto"/>
          <w:sz w:val="28"/>
          <w:szCs w:val="28"/>
          <w:highlight w:val="none"/>
        </w:rPr>
      </w:pPr>
    </w:p>
    <w:p w14:paraId="48A6B55B">
      <w:pPr>
        <w:keepNext w:val="0"/>
        <w:keepLines w:val="0"/>
        <w:pageBreakBefore w:val="0"/>
        <w:widowControl w:val="0"/>
        <w:kinsoku/>
        <w:wordWrap/>
        <w:overflowPunct/>
        <w:topLinePunct w:val="0"/>
        <w:autoSpaceDE/>
        <w:autoSpaceDN/>
        <w:bidi w:val="0"/>
        <w:adjustRightInd/>
        <w:snapToGrid/>
        <w:spacing w:line="570" w:lineRule="exact"/>
        <w:ind w:firstLine="420" w:firstLineChars="15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代理人（签字）：</w:t>
      </w:r>
    </w:p>
    <w:p w14:paraId="5B1DC0D5">
      <w:pPr>
        <w:keepNext w:val="0"/>
        <w:keepLines w:val="0"/>
        <w:pageBreakBefore w:val="0"/>
        <w:widowControl w:val="0"/>
        <w:kinsoku/>
        <w:wordWrap/>
        <w:overflowPunct/>
        <w:topLinePunct w:val="0"/>
        <w:autoSpaceDE/>
        <w:autoSpaceDN/>
        <w:bidi w:val="0"/>
        <w:adjustRightInd/>
        <w:snapToGrid/>
        <w:spacing w:line="570" w:lineRule="exact"/>
        <w:ind w:firstLine="700" w:firstLineChars="25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身份证号： </w:t>
      </w:r>
    </w:p>
    <w:p w14:paraId="6E3C100C">
      <w:pPr>
        <w:spacing w:line="570" w:lineRule="exact"/>
        <w:ind w:firstLine="700" w:firstLineChars="250"/>
        <w:rPr>
          <w:rFonts w:hint="default" w:eastAsia="仿宋"/>
          <w:color w:val="auto"/>
          <w:sz w:val="28"/>
          <w:szCs w:val="28"/>
          <w:highlight w:val="none"/>
          <w:lang w:val="en-US" w:eastAsia="zh-CN"/>
        </w:rPr>
      </w:pPr>
      <w:r>
        <w:rPr>
          <w:rFonts w:hint="default" w:eastAsia="仿宋" w:cs="Times New Roman"/>
          <w:color w:val="auto"/>
          <w:sz w:val="28"/>
          <w:szCs w:val="28"/>
          <w:highlight w:val="none"/>
          <w:lang w:val="en-US" w:eastAsia="zh-CN"/>
        </w:rPr>
        <w:t>联系电话：</w:t>
      </w:r>
    </w:p>
    <w:p w14:paraId="582D9B2E">
      <w:pPr>
        <w:keepNext w:val="0"/>
        <w:keepLines w:val="0"/>
        <w:pageBreakBefore w:val="0"/>
        <w:widowControl w:val="0"/>
        <w:kinsoku/>
        <w:wordWrap/>
        <w:overflowPunct/>
        <w:topLinePunct w:val="0"/>
        <w:autoSpaceDE/>
        <w:autoSpaceDN/>
        <w:bidi w:val="0"/>
        <w:adjustRightInd/>
        <w:snapToGrid/>
        <w:spacing w:line="570" w:lineRule="exact"/>
        <w:ind w:firstLine="5180" w:firstLineChars="185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年    月    日</w:t>
      </w:r>
    </w:p>
    <w:p w14:paraId="5595146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0" w:firstLineChars="0"/>
        <w:jc w:val="both"/>
        <w:textAlignment w:val="auto"/>
        <w:outlineLvl w:val="1"/>
        <w:rPr>
          <w:rFonts w:hint="default" w:ascii="Times New Roman" w:hAnsi="Times New Roman" w:eastAsia="仿宋" w:cs="Times New Roman"/>
          <w:color w:val="auto"/>
          <w:sz w:val="28"/>
          <w:szCs w:val="28"/>
          <w:highlight w:val="none"/>
        </w:rPr>
      </w:pPr>
    </w:p>
    <w:p w14:paraId="04204170">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outlineLvl w:val="1"/>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lang w:val="en-US" w:eastAsia="zh-CN"/>
        </w:rPr>
        <w:t>法定代</w:t>
      </w:r>
      <w:r>
        <w:rPr>
          <w:rFonts w:hint="default" w:ascii="Times New Roman" w:hAnsi="Times New Roman" w:eastAsia="仿宋" w:cs="Times New Roman"/>
          <w:color w:val="auto"/>
          <w:sz w:val="28"/>
          <w:szCs w:val="28"/>
          <w:highlight w:val="none"/>
        </w:rPr>
        <w:t>表人及代理人身份证复印件（需加盖单位公章）</w:t>
      </w:r>
    </w:p>
    <w:p w14:paraId="68A425F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jc w:val="both"/>
        <w:textAlignment w:val="auto"/>
        <w:outlineLvl w:val="1"/>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lang w:val="en-US" w:eastAsia="zh-CN"/>
        </w:rPr>
        <w:t>法定代表人直接参加不须提供，但须提供法定代表人证明原件</w:t>
      </w:r>
    </w:p>
    <w:p w14:paraId="29328420">
      <w:pPr>
        <w:rPr>
          <w:rFonts w:hint="default" w:ascii="Times New Roman" w:hAnsi="Times New Roman" w:cs="Times New Roman"/>
          <w:lang w:val="en-US" w:eastAsia="zh-CN"/>
        </w:rPr>
      </w:pPr>
    </w:p>
    <w:p w14:paraId="24BC8073">
      <w:pPr>
        <w:rPr>
          <w:rFonts w:hint="default" w:ascii="Times New Roman" w:hAnsi="Times New Roman" w:cs="Times New Roman"/>
          <w:lang w:val="en-US" w:eastAsia="zh-CN"/>
        </w:rPr>
      </w:pPr>
    </w:p>
    <w:p w14:paraId="3E246BCC">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r>
        <w:rPr>
          <w:rFonts w:hint="default" w:ascii="Times New Roman" w:hAnsi="Times New Roman" w:eastAsia="仿宋" w:cs="Times New Roman"/>
          <w:b/>
          <w:color w:val="auto"/>
          <w:sz w:val="32"/>
          <w:szCs w:val="32"/>
          <w:highlight w:val="none"/>
          <w:lang w:val="en-US" w:eastAsia="zh-CN"/>
        </w:rPr>
        <w:t>二、营业执照及相关资料</w:t>
      </w:r>
    </w:p>
    <w:p w14:paraId="46B400FE">
      <w:pPr>
        <w:rPr>
          <w:rFonts w:hint="default" w:ascii="Times New Roman" w:hAnsi="Times New Roman" w:cs="Times New Roman"/>
          <w:lang w:val="en-US" w:eastAsia="zh-CN"/>
        </w:rPr>
      </w:pPr>
    </w:p>
    <w:p w14:paraId="1ECB61BD">
      <w:pPr>
        <w:pStyle w:val="3"/>
        <w:rPr>
          <w:rFonts w:hint="default" w:ascii="Times New Roman" w:hAnsi="Times New Roman" w:cs="Times New Roman"/>
          <w:lang w:val="en-US" w:eastAsia="zh-CN"/>
        </w:rPr>
      </w:pPr>
    </w:p>
    <w:p w14:paraId="459DD927">
      <w:pPr>
        <w:rPr>
          <w:rFonts w:hint="default" w:ascii="Times New Roman" w:hAnsi="Times New Roman" w:cs="Times New Roman"/>
          <w:lang w:val="en-US" w:eastAsia="zh-CN"/>
        </w:rPr>
      </w:pPr>
    </w:p>
    <w:p w14:paraId="282CD614">
      <w:pPr>
        <w:pStyle w:val="3"/>
        <w:rPr>
          <w:rFonts w:hint="default" w:ascii="Times New Roman" w:hAnsi="Times New Roman" w:cs="Times New Roman"/>
          <w:lang w:val="en-US" w:eastAsia="zh-CN"/>
        </w:rPr>
      </w:pPr>
    </w:p>
    <w:p w14:paraId="12B1465D">
      <w:pPr>
        <w:rPr>
          <w:rFonts w:hint="default" w:ascii="Times New Roman" w:hAnsi="Times New Roman" w:cs="Times New Roman"/>
          <w:lang w:val="en-US" w:eastAsia="zh-CN"/>
        </w:rPr>
      </w:pPr>
    </w:p>
    <w:p w14:paraId="075644AD">
      <w:pPr>
        <w:pStyle w:val="3"/>
        <w:rPr>
          <w:rFonts w:hint="default" w:ascii="Times New Roman" w:hAnsi="Times New Roman" w:cs="Times New Roman"/>
          <w:lang w:val="en-US" w:eastAsia="zh-CN"/>
        </w:rPr>
      </w:pPr>
    </w:p>
    <w:p w14:paraId="4F995378">
      <w:pPr>
        <w:rPr>
          <w:rFonts w:hint="default" w:ascii="Times New Roman" w:hAnsi="Times New Roman" w:cs="Times New Roman"/>
          <w:lang w:val="en-US" w:eastAsia="zh-CN"/>
        </w:rPr>
      </w:pPr>
    </w:p>
    <w:p w14:paraId="0AD99E81">
      <w:pPr>
        <w:pStyle w:val="3"/>
        <w:rPr>
          <w:rFonts w:hint="default" w:ascii="Times New Roman" w:hAnsi="Times New Roman" w:cs="Times New Roman"/>
          <w:lang w:val="en-US" w:eastAsia="zh-CN"/>
        </w:rPr>
      </w:pPr>
    </w:p>
    <w:p w14:paraId="38038EE0">
      <w:pPr>
        <w:rPr>
          <w:rFonts w:hint="default" w:ascii="Times New Roman" w:hAnsi="Times New Roman" w:cs="Times New Roman"/>
          <w:lang w:val="en-US" w:eastAsia="zh-CN"/>
        </w:rPr>
      </w:pPr>
    </w:p>
    <w:p w14:paraId="6D06DA77">
      <w:pPr>
        <w:pStyle w:val="3"/>
        <w:rPr>
          <w:rFonts w:hint="default" w:ascii="Times New Roman" w:hAnsi="Times New Roman" w:cs="Times New Roman"/>
          <w:lang w:val="en-US" w:eastAsia="zh-CN"/>
        </w:rPr>
      </w:pPr>
    </w:p>
    <w:p w14:paraId="5C7DCC0E">
      <w:pPr>
        <w:rPr>
          <w:rFonts w:hint="default" w:ascii="Times New Roman" w:hAnsi="Times New Roman" w:cs="Times New Roman"/>
          <w:lang w:val="en-US" w:eastAsia="zh-CN"/>
        </w:rPr>
      </w:pPr>
    </w:p>
    <w:p w14:paraId="0E34BBBC">
      <w:pPr>
        <w:pStyle w:val="3"/>
        <w:rPr>
          <w:rFonts w:hint="default" w:ascii="Times New Roman" w:hAnsi="Times New Roman" w:cs="Times New Roman"/>
          <w:lang w:val="en-US" w:eastAsia="zh-CN"/>
        </w:rPr>
      </w:pPr>
    </w:p>
    <w:p w14:paraId="2C3ED2E6">
      <w:pPr>
        <w:rPr>
          <w:rFonts w:hint="default" w:ascii="Times New Roman" w:hAnsi="Times New Roman" w:cs="Times New Roman"/>
          <w:lang w:val="en-US" w:eastAsia="zh-CN"/>
        </w:rPr>
      </w:pPr>
    </w:p>
    <w:p w14:paraId="4E004E27">
      <w:pPr>
        <w:pStyle w:val="3"/>
        <w:rPr>
          <w:rFonts w:hint="default" w:ascii="Times New Roman" w:hAnsi="Times New Roman" w:cs="Times New Roman"/>
          <w:lang w:val="en-US" w:eastAsia="zh-CN"/>
        </w:rPr>
      </w:pPr>
    </w:p>
    <w:p w14:paraId="3189D4A5">
      <w:pPr>
        <w:rPr>
          <w:rFonts w:hint="default" w:ascii="Times New Roman" w:hAnsi="Times New Roman" w:cs="Times New Roman"/>
          <w:lang w:val="en-US" w:eastAsia="zh-CN"/>
        </w:rPr>
      </w:pPr>
    </w:p>
    <w:p w14:paraId="2E710045">
      <w:pPr>
        <w:pStyle w:val="3"/>
        <w:rPr>
          <w:rFonts w:hint="default" w:ascii="Times New Roman" w:hAnsi="Times New Roman" w:cs="Times New Roman"/>
          <w:lang w:val="en-US" w:eastAsia="zh-CN"/>
        </w:rPr>
      </w:pPr>
    </w:p>
    <w:p w14:paraId="5D4A5308">
      <w:pPr>
        <w:rPr>
          <w:rFonts w:hint="default" w:ascii="Times New Roman" w:hAnsi="Times New Roman" w:cs="Times New Roman"/>
          <w:lang w:val="en-US" w:eastAsia="zh-CN"/>
        </w:rPr>
      </w:pPr>
      <w:bookmarkStart w:id="9" w:name="_GoBack"/>
      <w:bookmarkEnd w:id="9"/>
    </w:p>
    <w:p w14:paraId="11BFDA28">
      <w:pPr>
        <w:pStyle w:val="3"/>
        <w:rPr>
          <w:rFonts w:hint="default" w:ascii="Times New Roman" w:hAnsi="Times New Roman" w:cs="Times New Roman"/>
          <w:lang w:val="en-US" w:eastAsia="zh-CN"/>
        </w:rPr>
      </w:pPr>
    </w:p>
    <w:p w14:paraId="0BFEE554">
      <w:pPr>
        <w:rPr>
          <w:rFonts w:hint="default" w:ascii="Times New Roman" w:hAnsi="Times New Roman" w:cs="Times New Roman"/>
          <w:lang w:val="en-US" w:eastAsia="zh-CN"/>
        </w:rPr>
      </w:pPr>
    </w:p>
    <w:p w14:paraId="4CF541BB">
      <w:pPr>
        <w:pStyle w:val="3"/>
        <w:rPr>
          <w:rFonts w:hint="default" w:ascii="Times New Roman" w:hAnsi="Times New Roman" w:cs="Times New Roman"/>
          <w:lang w:val="en-US" w:eastAsia="zh-CN"/>
        </w:rPr>
      </w:pPr>
    </w:p>
    <w:p w14:paraId="600B3E73">
      <w:pPr>
        <w:rPr>
          <w:rFonts w:hint="default" w:ascii="Times New Roman" w:hAnsi="Times New Roman" w:cs="Times New Roman"/>
          <w:lang w:val="en-US" w:eastAsia="zh-CN"/>
        </w:rPr>
      </w:pPr>
    </w:p>
    <w:p w14:paraId="678CC94C">
      <w:pPr>
        <w:pStyle w:val="3"/>
        <w:rPr>
          <w:rFonts w:hint="default" w:ascii="Times New Roman" w:hAnsi="Times New Roman" w:cs="Times New Roman"/>
          <w:lang w:val="en-US" w:eastAsia="zh-CN"/>
        </w:rPr>
      </w:pPr>
    </w:p>
    <w:p w14:paraId="64F2FB64">
      <w:pPr>
        <w:rPr>
          <w:rFonts w:hint="default" w:ascii="Times New Roman" w:hAnsi="Times New Roman" w:cs="Times New Roman"/>
          <w:lang w:val="en-US" w:eastAsia="zh-CN"/>
        </w:rPr>
      </w:pPr>
    </w:p>
    <w:p w14:paraId="7C7F6948">
      <w:pPr>
        <w:pStyle w:val="3"/>
        <w:rPr>
          <w:rFonts w:hint="default" w:ascii="Times New Roman" w:hAnsi="Times New Roman" w:cs="Times New Roman"/>
          <w:lang w:val="en-US" w:eastAsia="zh-CN"/>
        </w:rPr>
      </w:pPr>
    </w:p>
    <w:p w14:paraId="6CA88E28">
      <w:pPr>
        <w:rPr>
          <w:rFonts w:hint="default" w:ascii="Times New Roman" w:hAnsi="Times New Roman" w:cs="Times New Roman"/>
          <w:lang w:val="en-US" w:eastAsia="zh-CN"/>
        </w:rPr>
      </w:pPr>
    </w:p>
    <w:p w14:paraId="48C88BB1">
      <w:pPr>
        <w:pStyle w:val="3"/>
        <w:rPr>
          <w:rFonts w:hint="default" w:ascii="Times New Roman" w:hAnsi="Times New Roman" w:cs="Times New Roman"/>
          <w:lang w:val="en-US" w:eastAsia="zh-CN"/>
        </w:rPr>
      </w:pPr>
    </w:p>
    <w:p w14:paraId="190E7ECB">
      <w:pPr>
        <w:rPr>
          <w:rFonts w:hint="default" w:ascii="Times New Roman" w:hAnsi="Times New Roman" w:cs="Times New Roman"/>
          <w:lang w:val="en-US" w:eastAsia="zh-CN"/>
        </w:rPr>
      </w:pPr>
    </w:p>
    <w:p w14:paraId="71403145">
      <w:pPr>
        <w:pStyle w:val="3"/>
        <w:rPr>
          <w:rFonts w:hint="default" w:ascii="Times New Roman" w:hAnsi="Times New Roman" w:cs="Times New Roman"/>
          <w:lang w:val="en-US" w:eastAsia="zh-CN"/>
        </w:rPr>
      </w:pPr>
    </w:p>
    <w:p w14:paraId="153CD513">
      <w:pPr>
        <w:rPr>
          <w:rFonts w:hint="default" w:ascii="Times New Roman" w:hAnsi="Times New Roman" w:cs="Times New Roman"/>
          <w:lang w:val="en-US" w:eastAsia="zh-CN"/>
        </w:rPr>
      </w:pPr>
    </w:p>
    <w:p w14:paraId="0C4CDAE8">
      <w:pPr>
        <w:rPr>
          <w:rFonts w:hint="default" w:ascii="Times New Roman" w:hAnsi="Times New Roman" w:cs="Times New Roman"/>
          <w:lang w:val="en-US" w:eastAsia="zh-CN"/>
        </w:rPr>
      </w:pPr>
    </w:p>
    <w:p w14:paraId="60ED61A8">
      <w:pPr>
        <w:pStyle w:val="3"/>
        <w:rPr>
          <w:rFonts w:hint="default" w:ascii="Times New Roman" w:hAnsi="Times New Roman" w:cs="Times New Roman"/>
          <w:lang w:val="en-US" w:eastAsia="zh-CN"/>
        </w:rPr>
      </w:pPr>
    </w:p>
    <w:p w14:paraId="293AF3BB">
      <w:pPr>
        <w:rPr>
          <w:rFonts w:hint="default" w:ascii="Times New Roman" w:hAnsi="Times New Roman" w:cs="Times New Roman"/>
          <w:lang w:val="en-US" w:eastAsia="zh-CN"/>
        </w:rPr>
      </w:pPr>
    </w:p>
    <w:p w14:paraId="114EAF30">
      <w:pPr>
        <w:pStyle w:val="3"/>
        <w:rPr>
          <w:rFonts w:hint="default" w:ascii="Times New Roman" w:hAnsi="Times New Roman" w:cs="Times New Roman"/>
          <w:lang w:val="en-US" w:eastAsia="zh-CN"/>
        </w:rPr>
      </w:pPr>
    </w:p>
    <w:p w14:paraId="445AB21E">
      <w:pPr>
        <w:rPr>
          <w:rFonts w:hint="default" w:ascii="Times New Roman" w:hAnsi="Times New Roman" w:cs="Times New Roman"/>
          <w:lang w:val="en-US" w:eastAsia="zh-CN"/>
        </w:rPr>
      </w:pPr>
    </w:p>
    <w:p w14:paraId="4426053D">
      <w:pPr>
        <w:rPr>
          <w:rFonts w:hint="default" w:ascii="Times New Roman" w:hAnsi="Times New Roman" w:cs="Times New Roman"/>
          <w:lang w:val="en-US" w:eastAsia="zh-CN"/>
        </w:rPr>
      </w:pPr>
    </w:p>
    <w:p w14:paraId="78BAE482">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r>
        <w:rPr>
          <w:rFonts w:hint="default" w:ascii="Times New Roman" w:hAnsi="Times New Roman" w:eastAsia="仿宋" w:cs="Times New Roman"/>
          <w:b/>
          <w:color w:val="auto"/>
          <w:sz w:val="32"/>
          <w:szCs w:val="32"/>
          <w:highlight w:val="none"/>
          <w:lang w:val="en-US" w:eastAsia="zh-CN"/>
        </w:rPr>
        <w:t>三、报价函</w:t>
      </w:r>
    </w:p>
    <w:p w14:paraId="2DB156FC">
      <w:pPr>
        <w:rPr>
          <w:rFonts w:hint="default" w:ascii="Times New Roman" w:hAnsi="Times New Roman" w:cs="Times New Roman"/>
          <w:lang w:val="en-US" w:eastAsia="zh-CN"/>
        </w:rPr>
      </w:pPr>
    </w:p>
    <w:p w14:paraId="2219FCF1">
      <w:pPr>
        <w:pStyle w:val="3"/>
        <w:rPr>
          <w:rFonts w:hint="default" w:ascii="Times New Roman" w:hAnsi="Times New Roman" w:eastAsia="仿宋" w:cs="Times New Roman"/>
          <w:lang w:val="en-US" w:eastAsia="zh-CN"/>
        </w:rPr>
      </w:pPr>
    </w:p>
    <w:p w14:paraId="1F4ED00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四川中彩源</w:t>
      </w:r>
      <w:r>
        <w:rPr>
          <w:rFonts w:hint="eastAsia" w:eastAsia="仿宋" w:cs="Times New Roman"/>
          <w:color w:val="auto"/>
          <w:sz w:val="32"/>
          <w:szCs w:val="32"/>
          <w:highlight w:val="none"/>
          <w:lang w:val="en-US" w:eastAsia="zh-CN"/>
        </w:rPr>
        <w:t>建设</w:t>
      </w:r>
      <w:r>
        <w:rPr>
          <w:rFonts w:hint="default" w:ascii="Times New Roman" w:hAnsi="Times New Roman" w:eastAsia="仿宋" w:cs="Times New Roman"/>
          <w:color w:val="auto"/>
          <w:sz w:val="32"/>
          <w:szCs w:val="32"/>
          <w:highlight w:val="none"/>
          <w:lang w:val="en-US" w:eastAsia="zh-CN"/>
        </w:rPr>
        <w:t>工程有限公司</w:t>
      </w:r>
      <w:r>
        <w:rPr>
          <w:rFonts w:hint="default" w:ascii="Times New Roman" w:hAnsi="Times New Roman" w:eastAsia="仿宋" w:cs="Times New Roman"/>
          <w:color w:val="auto"/>
          <w:sz w:val="32"/>
          <w:szCs w:val="32"/>
          <w:highlight w:val="none"/>
        </w:rPr>
        <w:t>：</w:t>
      </w:r>
    </w:p>
    <w:p w14:paraId="0679D8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b w:val="0"/>
          <w:color w:val="auto"/>
          <w:sz w:val="32"/>
          <w:szCs w:val="32"/>
          <w:highlight w:val="none"/>
        </w:rPr>
      </w:pPr>
      <w:r>
        <w:rPr>
          <w:rFonts w:hint="default" w:ascii="Times New Roman" w:hAnsi="Times New Roman" w:eastAsia="仿宋" w:cs="Times New Roman"/>
          <w:color w:val="auto"/>
          <w:sz w:val="32"/>
          <w:szCs w:val="32"/>
          <w:highlight w:val="none"/>
        </w:rPr>
        <w:t>关于</w:t>
      </w:r>
      <w:r>
        <w:rPr>
          <w:rFonts w:hint="default" w:ascii="Times New Roman" w:hAnsi="Times New Roman" w:eastAsia="仿宋" w:cs="Times New Roman"/>
          <w:color w:val="auto"/>
          <w:sz w:val="32"/>
          <w:szCs w:val="32"/>
          <w:highlight w:val="none"/>
          <w:lang w:val="en-US" w:eastAsia="zh-CN"/>
        </w:rPr>
        <w:t>贵公司</w:t>
      </w:r>
      <w:r>
        <w:rPr>
          <w:rFonts w:hint="default" w:ascii="Times New Roman" w:hAnsi="Times New Roman" w:eastAsia="仿宋" w:cs="Times New Roman"/>
          <w:color w:val="auto"/>
          <w:sz w:val="32"/>
          <w:szCs w:val="32"/>
          <w:highlight w:val="none"/>
          <w:u w:val="single"/>
          <w:lang w:val="en-US" w:eastAsia="zh-CN"/>
        </w:rPr>
        <w:t xml:space="preserve">  </w:t>
      </w:r>
      <w:r>
        <w:rPr>
          <w:rFonts w:hint="eastAsia" w:ascii="Times New Roman" w:hAnsi="Times New Roman" w:eastAsia="仿宋" w:cs="Times New Roman"/>
          <w:color w:val="auto"/>
          <w:sz w:val="32"/>
          <w:szCs w:val="32"/>
          <w:highlight w:val="none"/>
          <w:u w:val="single"/>
          <w:lang w:val="en-US" w:eastAsia="zh-CN"/>
        </w:rPr>
        <w:t>成品岗亭、组合花箱等材料</w:t>
      </w:r>
      <w:r>
        <w:rPr>
          <w:rFonts w:hint="eastAsia" w:eastAsia="仿宋" w:cs="Times New Roman"/>
          <w:color w:val="auto"/>
          <w:sz w:val="32"/>
          <w:szCs w:val="32"/>
          <w:highlight w:val="none"/>
          <w:u w:val="single"/>
          <w:lang w:val="en-US" w:eastAsia="zh-CN"/>
        </w:rPr>
        <w:t>（第二次）</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u w:val="none"/>
          <w:lang w:val="en-US" w:eastAsia="zh-CN"/>
        </w:rPr>
        <w:t>询价公告</w:t>
      </w:r>
      <w:r>
        <w:rPr>
          <w:rFonts w:hint="default" w:ascii="Times New Roman" w:hAnsi="Times New Roman" w:eastAsia="仿宋" w:cs="Times New Roman"/>
          <w:color w:val="auto"/>
          <w:sz w:val="32"/>
          <w:szCs w:val="32"/>
          <w:highlight w:val="none"/>
        </w:rPr>
        <w:t>，结合</w:t>
      </w:r>
      <w:r>
        <w:rPr>
          <w:rFonts w:hint="default" w:ascii="Times New Roman" w:hAnsi="Times New Roman" w:eastAsia="仿宋" w:cs="Times New Roman"/>
          <w:color w:val="auto"/>
          <w:sz w:val="32"/>
          <w:szCs w:val="32"/>
          <w:highlight w:val="none"/>
          <w:lang w:val="en-US" w:eastAsia="zh-CN"/>
        </w:rPr>
        <w:t>相关情况</w:t>
      </w:r>
      <w:r>
        <w:rPr>
          <w:rFonts w:hint="default" w:ascii="Times New Roman" w:hAnsi="Times New Roman" w:eastAsia="仿宋" w:cs="Times New Roman"/>
          <w:color w:val="auto"/>
          <w:sz w:val="32"/>
          <w:szCs w:val="32"/>
          <w:highlight w:val="none"/>
        </w:rPr>
        <w:t>，经仔细研究决定，我方（单位</w:t>
      </w:r>
      <w:r>
        <w:rPr>
          <w:rFonts w:hint="default" w:ascii="Times New Roman" w:hAnsi="Times New Roman" w:eastAsia="仿宋" w:cs="Times New Roman"/>
          <w:color w:val="auto"/>
          <w:sz w:val="32"/>
          <w:szCs w:val="32"/>
          <w:highlight w:val="none"/>
          <w:lang w:eastAsia="zh-CN"/>
        </w:rPr>
        <w:t>名称</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u w:val="none"/>
          <w:lang w:val="en-US" w:eastAsia="zh-CN"/>
        </w:rPr>
        <w:t>关于贵司该项目</w:t>
      </w:r>
      <w:r>
        <w:rPr>
          <w:rFonts w:hint="eastAsia" w:ascii="Times New Roman" w:hAnsi="Times New Roman" w:eastAsia="仿宋" w:cs="Times New Roman"/>
          <w:color w:val="auto"/>
          <w:sz w:val="32"/>
          <w:szCs w:val="32"/>
          <w:highlight w:val="none"/>
          <w:u w:val="none"/>
          <w:lang w:val="en-US" w:eastAsia="zh-CN"/>
        </w:rPr>
        <w:t>材料</w:t>
      </w:r>
      <w:r>
        <w:rPr>
          <w:rFonts w:hint="default" w:ascii="Times New Roman" w:hAnsi="Times New Roman" w:eastAsia="仿宋" w:cs="Times New Roman"/>
          <w:color w:val="auto"/>
          <w:sz w:val="32"/>
          <w:szCs w:val="32"/>
          <w:highlight w:val="none"/>
          <w:u w:val="none"/>
          <w:lang w:val="en-US" w:eastAsia="zh-CN"/>
        </w:rPr>
        <w:t>报价</w:t>
      </w:r>
      <w:r>
        <w:rPr>
          <w:rFonts w:hint="default" w:ascii="Times New Roman" w:hAnsi="Times New Roman" w:eastAsia="仿宋" w:cs="Times New Roman"/>
          <w:color w:val="auto"/>
          <w:sz w:val="32"/>
          <w:szCs w:val="32"/>
          <w:highlight w:val="none"/>
        </w:rPr>
        <w:t>为</w:t>
      </w:r>
      <w:r>
        <w:rPr>
          <w:rFonts w:hint="default" w:ascii="Times New Roman" w:hAnsi="Times New Roman" w:eastAsia="仿宋" w:cs="Times New Roman"/>
          <w:b w:val="0"/>
          <w:color w:val="auto"/>
          <w:sz w:val="32"/>
          <w:szCs w:val="32"/>
          <w:highlight w:val="none"/>
          <w:u w:val="single"/>
        </w:rPr>
        <w:t xml:space="preserve">      </w:t>
      </w:r>
      <w:r>
        <w:rPr>
          <w:rFonts w:hint="default" w:ascii="Times New Roman" w:hAnsi="Times New Roman" w:eastAsia="仿宋" w:cs="Times New Roman"/>
          <w:b w:val="0"/>
          <w:color w:val="auto"/>
          <w:sz w:val="32"/>
          <w:szCs w:val="32"/>
          <w:highlight w:val="none"/>
        </w:rPr>
        <w:t>元</w:t>
      </w:r>
      <w:r>
        <w:rPr>
          <w:rFonts w:hint="default" w:ascii="Times New Roman" w:hAnsi="Times New Roman" w:eastAsia="仿宋" w:cs="Times New Roman"/>
          <w:b w:val="0"/>
          <w:color w:val="auto"/>
          <w:sz w:val="32"/>
          <w:szCs w:val="32"/>
          <w:highlight w:val="none"/>
          <w:lang w:eastAsia="zh-CN"/>
        </w:rPr>
        <w:t>（</w:t>
      </w:r>
      <w:r>
        <w:rPr>
          <w:rFonts w:hint="default" w:ascii="Times New Roman" w:hAnsi="Times New Roman" w:eastAsia="仿宋" w:cs="Times New Roman"/>
          <w:b w:val="0"/>
          <w:color w:val="auto"/>
          <w:sz w:val="32"/>
          <w:szCs w:val="32"/>
          <w:highlight w:val="none"/>
          <w:lang w:val="en-US" w:eastAsia="zh-CN"/>
        </w:rPr>
        <w:t>含税价</w:t>
      </w:r>
      <w:r>
        <w:rPr>
          <w:rFonts w:hint="default" w:ascii="Times New Roman" w:hAnsi="Times New Roman" w:eastAsia="仿宋" w:cs="Times New Roman"/>
          <w:b w:val="0"/>
          <w:color w:val="auto"/>
          <w:sz w:val="32"/>
          <w:szCs w:val="32"/>
          <w:highlight w:val="none"/>
          <w:lang w:eastAsia="zh-CN"/>
        </w:rPr>
        <w:t>），</w:t>
      </w:r>
      <w:r>
        <w:rPr>
          <w:rFonts w:hint="default" w:ascii="Times New Roman" w:hAnsi="Times New Roman" w:eastAsia="仿宋" w:cs="Times New Roman"/>
          <w:b w:val="0"/>
          <w:color w:val="auto"/>
          <w:sz w:val="32"/>
          <w:szCs w:val="32"/>
          <w:highlight w:val="none"/>
        </w:rPr>
        <w:t>（</w:t>
      </w:r>
      <w:r>
        <w:rPr>
          <w:rFonts w:hint="default" w:ascii="Times New Roman" w:hAnsi="Times New Roman" w:eastAsia="仿宋" w:cs="Times New Roman"/>
          <w:b w:val="0"/>
          <w:color w:val="auto"/>
          <w:sz w:val="32"/>
          <w:szCs w:val="32"/>
          <w:highlight w:val="none"/>
          <w:u w:val="none"/>
        </w:rPr>
        <w:t>大写：</w:t>
      </w:r>
      <w:r>
        <w:rPr>
          <w:rFonts w:hint="default" w:ascii="Times New Roman" w:hAnsi="Times New Roman" w:eastAsia="仿宋" w:cs="Times New Roman"/>
          <w:b w:val="0"/>
          <w:color w:val="auto"/>
          <w:sz w:val="32"/>
          <w:szCs w:val="32"/>
          <w:highlight w:val="none"/>
          <w:u w:val="single"/>
        </w:rPr>
        <w:t xml:space="preserve">              </w:t>
      </w:r>
      <w:r>
        <w:rPr>
          <w:rFonts w:hint="default" w:ascii="Times New Roman" w:hAnsi="Times New Roman" w:eastAsia="仿宋" w:cs="Times New Roman"/>
          <w:b w:val="0"/>
          <w:color w:val="auto"/>
          <w:sz w:val="32"/>
          <w:szCs w:val="32"/>
          <w:highlight w:val="none"/>
        </w:rPr>
        <w:t>）</w:t>
      </w:r>
      <w:r>
        <w:rPr>
          <w:rFonts w:hint="default" w:ascii="Times New Roman" w:hAnsi="Times New Roman" w:eastAsia="仿宋" w:cs="Times New Roman"/>
          <w:b w:val="0"/>
          <w:color w:val="auto"/>
          <w:sz w:val="32"/>
          <w:szCs w:val="32"/>
          <w:highlight w:val="none"/>
          <w:lang w:val="en-US" w:eastAsia="zh-CN"/>
        </w:rPr>
        <w:t>税率</w:t>
      </w:r>
      <w:r>
        <w:rPr>
          <w:rFonts w:hint="default" w:ascii="Times New Roman" w:hAnsi="Times New Roman" w:eastAsia="仿宋" w:cs="Times New Roman"/>
          <w:b w:val="0"/>
          <w:color w:val="auto"/>
          <w:sz w:val="32"/>
          <w:szCs w:val="32"/>
          <w:highlight w:val="none"/>
          <w:u w:val="single"/>
        </w:rPr>
        <w:t xml:space="preserve">  </w:t>
      </w:r>
      <w:r>
        <w:rPr>
          <w:rFonts w:hint="eastAsia" w:eastAsia="仿宋" w:cs="Times New Roman"/>
          <w:b w:val="0"/>
          <w:color w:val="auto"/>
          <w:sz w:val="32"/>
          <w:szCs w:val="32"/>
          <w:highlight w:val="none"/>
          <w:u w:val="single"/>
          <w:lang w:val="en-US" w:eastAsia="zh-CN"/>
        </w:rPr>
        <w:t xml:space="preserve">13% </w:t>
      </w:r>
      <w:r>
        <w:rPr>
          <w:rFonts w:hint="default" w:ascii="Times New Roman" w:hAnsi="Times New Roman" w:eastAsia="仿宋" w:cs="Times New Roman"/>
          <w:b w:val="0"/>
          <w:color w:val="auto"/>
          <w:sz w:val="32"/>
          <w:szCs w:val="32"/>
          <w:highlight w:val="none"/>
          <w:u w:val="single"/>
          <w:lang w:val="en-US" w:eastAsia="zh-CN"/>
        </w:rPr>
        <w:t xml:space="preserve"> </w:t>
      </w:r>
      <w:r>
        <w:rPr>
          <w:rFonts w:hint="default" w:ascii="Times New Roman" w:hAnsi="Times New Roman" w:eastAsia="仿宋" w:cs="Times New Roman"/>
          <w:b w:val="0"/>
          <w:color w:val="auto"/>
          <w:sz w:val="32"/>
          <w:szCs w:val="32"/>
          <w:highlight w:val="none"/>
        </w:rPr>
        <w:t>。</w:t>
      </w:r>
    </w:p>
    <w:p w14:paraId="36304BD2">
      <w:pPr>
        <w:spacing w:line="480" w:lineRule="auto"/>
        <w:rPr>
          <w:rFonts w:hint="default" w:ascii="Times New Roman" w:hAnsi="Times New Roman" w:eastAsia="仿宋" w:cs="Times New Roman"/>
          <w:color w:val="auto"/>
          <w:sz w:val="32"/>
          <w:szCs w:val="32"/>
          <w:highlight w:val="none"/>
        </w:rPr>
      </w:pPr>
    </w:p>
    <w:p w14:paraId="364FBCCD">
      <w:pPr>
        <w:pStyle w:val="3"/>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21"/>
          <w:szCs w:val="21"/>
          <w:highlight w:val="none"/>
          <w:lang w:val="en-US" w:eastAsia="zh-CN"/>
        </w:rPr>
        <w:t>注：</w:t>
      </w:r>
      <w:r>
        <w:rPr>
          <w:rFonts w:hint="default" w:ascii="Times New Roman" w:hAnsi="Times New Roman" w:eastAsia="仿宋_GB2312" w:cs="Times New Roman"/>
          <w:color w:val="auto"/>
          <w:sz w:val="21"/>
          <w:szCs w:val="21"/>
          <w:highlight w:val="none"/>
          <w:lang w:val="en-US" w:eastAsia="zh-CN"/>
        </w:rPr>
        <w:t>所有报价均用人民币表示，该单价为固定综合单价，包括但不限于运输费、上下车费、安装费</w:t>
      </w:r>
      <w:r>
        <w:rPr>
          <w:rFonts w:hint="eastAsia"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管理费、利润、税金等为完成本项目材料供应的所有费用。</w:t>
      </w:r>
    </w:p>
    <w:p w14:paraId="0860BB4E">
      <w:pPr>
        <w:rPr>
          <w:rFonts w:hint="default" w:ascii="Times New Roman" w:hAnsi="Times New Roman" w:eastAsia="仿宋_GB2312" w:cs="Times New Roman"/>
          <w:color w:val="auto"/>
          <w:sz w:val="32"/>
          <w:szCs w:val="32"/>
          <w:highlight w:val="none"/>
        </w:rPr>
      </w:pPr>
    </w:p>
    <w:p w14:paraId="6B7FECD4">
      <w:pPr>
        <w:pStyle w:val="3"/>
        <w:rPr>
          <w:rFonts w:hint="default" w:ascii="Times New Roman" w:hAnsi="Times New Roman" w:eastAsia="仿宋_GB2312" w:cs="Times New Roman"/>
          <w:color w:val="auto"/>
          <w:sz w:val="32"/>
          <w:szCs w:val="32"/>
          <w:highlight w:val="none"/>
        </w:rPr>
      </w:pPr>
    </w:p>
    <w:p w14:paraId="52A25B82">
      <w:pPr>
        <w:rPr>
          <w:rFonts w:hint="default" w:ascii="Times New Roman" w:hAnsi="Times New Roman" w:eastAsia="仿宋_GB2312" w:cs="Times New Roman"/>
          <w:color w:val="auto"/>
          <w:sz w:val="32"/>
          <w:szCs w:val="32"/>
          <w:highlight w:val="none"/>
        </w:rPr>
      </w:pPr>
    </w:p>
    <w:p w14:paraId="4E166446">
      <w:pPr>
        <w:pStyle w:val="3"/>
        <w:rPr>
          <w:rFonts w:hint="default" w:ascii="Times New Roman" w:hAnsi="Times New Roman" w:cs="Times New Roman"/>
        </w:rPr>
      </w:pPr>
    </w:p>
    <w:p w14:paraId="516939AA">
      <w:pPr>
        <w:rPr>
          <w:rFonts w:hint="default" w:ascii="Times New Roman" w:hAnsi="Times New Roman" w:cs="Times New Roman"/>
          <w:highlight w:val="none"/>
        </w:rPr>
      </w:pPr>
    </w:p>
    <w:p w14:paraId="0F07C88F">
      <w:pPr>
        <w:adjustRightInd w:val="0"/>
        <w:spacing w:line="480" w:lineRule="auto"/>
        <w:ind w:firstLine="1920" w:firstLineChars="600"/>
        <w:jc w:val="left"/>
        <w:rPr>
          <w:rFonts w:hint="default" w:ascii="Times New Roman" w:hAnsi="Times New Roman" w:eastAsia="仿宋_GB2312" w:cs="Times New Roman"/>
          <w:color w:val="auto"/>
          <w:sz w:val="32"/>
          <w:szCs w:val="32"/>
          <w:highlight w:val="none"/>
        </w:rPr>
      </w:pPr>
    </w:p>
    <w:p w14:paraId="55634C97">
      <w:pPr>
        <w:adjustRightInd w:val="0"/>
        <w:spacing w:line="480" w:lineRule="auto"/>
        <w:ind w:firstLine="2240" w:firstLineChars="7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单位名称：</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（盖单位公章）</w:t>
      </w:r>
    </w:p>
    <w:p w14:paraId="4BAAE386">
      <w:pPr>
        <w:bidi w:val="0"/>
        <w:ind w:firstLine="2240" w:firstLineChars="7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bCs/>
          <w:color w:val="auto"/>
          <w:sz w:val="32"/>
          <w:szCs w:val="32"/>
          <w:highlight w:val="none"/>
        </w:rPr>
        <w:t>日  期：</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bCs/>
          <w:color w:val="auto"/>
          <w:sz w:val="32"/>
          <w:szCs w:val="32"/>
          <w:highlight w:val="none"/>
        </w:rPr>
        <w:t>年</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bCs/>
          <w:color w:val="auto"/>
          <w:sz w:val="32"/>
          <w:szCs w:val="32"/>
          <w:highlight w:val="none"/>
        </w:rPr>
        <w:t>月</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bCs/>
          <w:color w:val="auto"/>
          <w:sz w:val="32"/>
          <w:szCs w:val="32"/>
          <w:highlight w:val="none"/>
        </w:rPr>
        <w:t>日</w:t>
      </w:r>
    </w:p>
    <w:p w14:paraId="01FDF53E">
      <w:pPr>
        <w:pStyle w:val="3"/>
        <w:rPr>
          <w:rFonts w:hint="default" w:ascii="Times New Roman" w:hAnsi="Times New Roman" w:eastAsia="仿宋" w:cs="Times New Roman"/>
          <w:lang w:val="en-US" w:eastAsia="zh-CN"/>
        </w:rPr>
      </w:pPr>
    </w:p>
    <w:p w14:paraId="506B69E6">
      <w:pPr>
        <w:rPr>
          <w:rFonts w:hint="default" w:ascii="Times New Roman" w:hAnsi="Times New Roman" w:cs="Times New Roman"/>
          <w:lang w:val="en-US" w:eastAsia="zh-CN"/>
        </w:rPr>
      </w:pPr>
    </w:p>
    <w:p w14:paraId="4CAE6F67">
      <w:pPr>
        <w:pStyle w:val="3"/>
        <w:rPr>
          <w:rFonts w:hint="default" w:ascii="Times New Roman" w:hAnsi="Times New Roman" w:cs="Times New Roman"/>
          <w:lang w:val="en-US" w:eastAsia="zh-CN"/>
        </w:rPr>
      </w:pPr>
    </w:p>
    <w:p w14:paraId="234CCCB2">
      <w:pPr>
        <w:rPr>
          <w:rFonts w:hint="default" w:ascii="Times New Roman" w:hAnsi="Times New Roman" w:cs="Times New Roman"/>
          <w:lang w:val="en-US" w:eastAsia="zh-CN"/>
        </w:rPr>
      </w:pPr>
    </w:p>
    <w:p w14:paraId="73B51027">
      <w:pPr>
        <w:pStyle w:val="3"/>
        <w:rPr>
          <w:rFonts w:hint="default" w:ascii="Times New Roman" w:hAnsi="Times New Roman" w:cs="Times New Roman"/>
          <w:lang w:val="en-US" w:eastAsia="zh-CN"/>
        </w:rPr>
      </w:pPr>
    </w:p>
    <w:p w14:paraId="1656AAAF">
      <w:pPr>
        <w:rPr>
          <w:rFonts w:hint="default" w:ascii="Times New Roman" w:hAnsi="Times New Roman" w:cs="Times New Roman"/>
          <w:lang w:val="en-US" w:eastAsia="zh-CN"/>
        </w:rPr>
      </w:pPr>
    </w:p>
    <w:p w14:paraId="708CCDAC">
      <w:pPr>
        <w:pStyle w:val="3"/>
        <w:rPr>
          <w:rFonts w:hint="default" w:ascii="Times New Roman" w:hAnsi="Times New Roman" w:cs="Times New Roman"/>
          <w:lang w:val="en-US" w:eastAsia="zh-CN"/>
        </w:rPr>
      </w:pPr>
    </w:p>
    <w:p w14:paraId="4741A251">
      <w:pPr>
        <w:rPr>
          <w:rFonts w:hint="default" w:ascii="Times New Roman" w:hAnsi="Times New Roman" w:cs="Times New Roman"/>
          <w:lang w:val="en-US" w:eastAsia="zh-CN"/>
        </w:rPr>
      </w:pPr>
    </w:p>
    <w:p w14:paraId="52C729B4">
      <w:pPr>
        <w:pStyle w:val="3"/>
        <w:rPr>
          <w:rFonts w:hint="default" w:ascii="Times New Roman" w:hAnsi="Times New Roman" w:cs="Times New Roman"/>
          <w:lang w:val="en-US" w:eastAsia="zh-CN"/>
        </w:rPr>
      </w:pPr>
    </w:p>
    <w:p w14:paraId="529D68D2">
      <w:pPr>
        <w:rPr>
          <w:rFonts w:hint="default" w:ascii="Times New Roman" w:hAnsi="Times New Roman" w:cs="Times New Roman"/>
          <w:lang w:val="en-US" w:eastAsia="zh-CN"/>
        </w:rPr>
      </w:pPr>
    </w:p>
    <w:p w14:paraId="13DF8519">
      <w:pPr>
        <w:pStyle w:val="3"/>
        <w:rPr>
          <w:rFonts w:hint="eastAsia" w:cs="Times New Roman"/>
          <w:lang w:val="en-US" w:eastAsia="zh-CN"/>
        </w:rPr>
      </w:pPr>
      <w:r>
        <w:rPr>
          <w:rFonts w:hint="eastAsia" w:cs="Times New Roman"/>
          <w:lang w:val="en-US" w:eastAsia="zh-CN"/>
        </w:rPr>
        <w:t>附件：</w:t>
      </w:r>
    </w:p>
    <w:tbl>
      <w:tblPr>
        <w:tblStyle w:val="8"/>
        <w:tblW w:w="102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870"/>
        <w:gridCol w:w="2115"/>
        <w:gridCol w:w="555"/>
        <w:gridCol w:w="633"/>
        <w:gridCol w:w="1077"/>
        <w:gridCol w:w="1065"/>
        <w:gridCol w:w="3307"/>
      </w:tblGrid>
      <w:tr w14:paraId="06C1C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10262" w:type="dxa"/>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0DEC53F8">
            <w:pPr>
              <w:keepNext w:val="0"/>
              <w:keepLines w:val="0"/>
              <w:widowControl/>
              <w:suppressLineNumbers w:val="0"/>
              <w:ind w:firstLineChars="100"/>
              <w:jc w:val="center"/>
              <w:textAlignment w:val="top"/>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32"/>
                <w:szCs w:val="32"/>
                <w:u w:val="none"/>
                <w:lang w:val="en-US" w:eastAsia="zh-CN" w:bidi="ar"/>
              </w:rPr>
              <w:t>报价清单表</w:t>
            </w:r>
          </w:p>
        </w:tc>
      </w:tr>
      <w:tr w14:paraId="0411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40" w:type="dxa"/>
            <w:tcBorders>
              <w:top w:val="nil"/>
              <w:left w:val="single" w:color="000000" w:sz="8" w:space="0"/>
              <w:bottom w:val="single" w:color="000000" w:sz="8" w:space="0"/>
              <w:right w:val="single" w:color="000000" w:sz="8" w:space="0"/>
            </w:tcBorders>
            <w:shd w:val="clear" w:color="auto" w:fill="auto"/>
            <w:vAlign w:val="center"/>
          </w:tcPr>
          <w:p w14:paraId="74F262C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序号</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90CD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名称</w:t>
            </w:r>
          </w:p>
        </w:tc>
        <w:tc>
          <w:tcPr>
            <w:tcW w:w="21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54AFE">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材质</w:t>
            </w:r>
            <w:r>
              <w:rPr>
                <w:rFonts w:hint="default" w:ascii="Times New Roman" w:hAnsi="Times New Roman" w:eastAsia="仿宋_GB2312" w:cs="Times New Roman"/>
                <w:i w:val="0"/>
                <w:iCs w:val="0"/>
                <w:color w:val="000000"/>
                <w:kern w:val="0"/>
                <w:sz w:val="21"/>
                <w:szCs w:val="21"/>
                <w:u w:val="none"/>
                <w:lang w:val="en-US" w:eastAsia="zh-CN" w:bidi="ar"/>
              </w:rPr>
              <w:t>/</w:t>
            </w:r>
            <w:r>
              <w:rPr>
                <w:rStyle w:val="10"/>
                <w:rFonts w:hAnsi="宋体"/>
                <w:lang w:val="en-US" w:eastAsia="zh-CN" w:bidi="ar"/>
              </w:rPr>
              <w:t>颜色</w:t>
            </w:r>
            <w:r>
              <w:rPr>
                <w:rFonts w:hint="default" w:ascii="Times New Roman" w:hAnsi="Times New Roman" w:eastAsia="仿宋_GB2312" w:cs="Times New Roman"/>
                <w:i w:val="0"/>
                <w:iCs w:val="0"/>
                <w:color w:val="000000"/>
                <w:kern w:val="0"/>
                <w:sz w:val="21"/>
                <w:szCs w:val="21"/>
                <w:u w:val="none"/>
                <w:lang w:val="en-US" w:eastAsia="zh-CN" w:bidi="ar"/>
              </w:rPr>
              <w:t>/</w:t>
            </w:r>
            <w:r>
              <w:rPr>
                <w:rStyle w:val="10"/>
                <w:rFonts w:hAnsi="宋体"/>
                <w:lang w:val="en-US" w:eastAsia="zh-CN" w:bidi="ar"/>
              </w:rPr>
              <w:t>规格型号</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AD2E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w:t>
            </w:r>
          </w:p>
        </w:tc>
        <w:tc>
          <w:tcPr>
            <w:tcW w:w="6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2BE5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税率</w:t>
            </w:r>
          </w:p>
        </w:tc>
        <w:tc>
          <w:tcPr>
            <w:tcW w:w="10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EE35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含税单价（元）</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D72E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含税总价</w:t>
            </w:r>
          </w:p>
          <w:p w14:paraId="18C5FB0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（元）</w:t>
            </w:r>
          </w:p>
        </w:tc>
        <w:tc>
          <w:tcPr>
            <w:tcW w:w="33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5067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备注</w:t>
            </w:r>
          </w:p>
        </w:tc>
      </w:tr>
      <w:tr w14:paraId="62466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4" w:hRule="atLeast"/>
          <w:jc w:val="center"/>
        </w:trPr>
        <w:tc>
          <w:tcPr>
            <w:tcW w:w="640" w:type="dxa"/>
            <w:tcBorders>
              <w:top w:val="nil"/>
              <w:left w:val="single" w:color="000000" w:sz="8" w:space="0"/>
              <w:bottom w:val="single" w:color="000000" w:sz="8" w:space="0"/>
              <w:right w:val="single" w:color="000000" w:sz="8" w:space="0"/>
            </w:tcBorders>
            <w:shd w:val="clear" w:color="auto" w:fill="auto"/>
            <w:vAlign w:val="center"/>
          </w:tcPr>
          <w:p w14:paraId="4403906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04E2495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成品岗亭</w:t>
            </w:r>
          </w:p>
        </w:tc>
        <w:tc>
          <w:tcPr>
            <w:tcW w:w="2115" w:type="dxa"/>
            <w:tcBorders>
              <w:top w:val="nil"/>
              <w:left w:val="single" w:color="000000" w:sz="8" w:space="0"/>
              <w:bottom w:val="single" w:color="000000" w:sz="8" w:space="0"/>
              <w:right w:val="single" w:color="000000" w:sz="8" w:space="0"/>
            </w:tcBorders>
            <w:shd w:val="clear" w:color="auto" w:fill="auto"/>
            <w:vAlign w:val="top"/>
          </w:tcPr>
          <w:p w14:paraId="346C7D9C">
            <w:pPr>
              <w:keepNext w:val="0"/>
              <w:keepLines w:val="0"/>
              <w:pageBreakBefore w:val="0"/>
              <w:widowControl/>
              <w:suppressLineNumbers w:val="0"/>
              <w:kinsoku/>
              <w:wordWrap/>
              <w:overflowPunct/>
              <w:topLinePunct w:val="0"/>
              <w:autoSpaceDE/>
              <w:autoSpaceDN/>
              <w:bidi w:val="0"/>
              <w:adjustRightInd/>
              <w:snapToGrid/>
              <w:ind w:firstLineChars="0"/>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Style w:val="10"/>
                <w:rFonts w:hAnsi="Times New Roman"/>
                <w:lang w:val="en-US" w:eastAsia="zh-CN" w:bidi="ar"/>
              </w:rPr>
              <w:t>镀锌钢板包集成墙板，镀锌钢表面刷真石漆、单层钢化玻璃；</w:t>
            </w:r>
          </w:p>
          <w:p w14:paraId="30A749E4">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10"/>
                <w:rFonts w:hAnsi="Times New Roman"/>
                <w:lang w:val="en-US" w:eastAsia="zh-CN" w:bidi="ar"/>
              </w:rPr>
              <w:t>尺寸：</w:t>
            </w:r>
            <w:r>
              <w:rPr>
                <w:rFonts w:hint="default" w:ascii="Times New Roman" w:hAnsi="Times New Roman" w:eastAsia="宋体" w:cs="Times New Roman"/>
                <w:i w:val="0"/>
                <w:iCs w:val="0"/>
                <w:color w:val="000000"/>
                <w:kern w:val="0"/>
                <w:sz w:val="21"/>
                <w:szCs w:val="21"/>
                <w:u w:val="none"/>
                <w:lang w:val="en-US" w:eastAsia="zh-CN" w:bidi="ar"/>
              </w:rPr>
              <w:t>2*2*2.8m</w:t>
            </w:r>
            <w:r>
              <w:rPr>
                <w:rStyle w:val="10"/>
                <w:rFonts w:hAnsi="Times New Roman"/>
                <w:lang w:val="en-US" w:eastAsia="zh-CN" w:bidi="ar"/>
              </w:rPr>
              <w:t>；</w:t>
            </w:r>
          </w:p>
          <w:p w14:paraId="311D9A90">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10"/>
                <w:rFonts w:hAnsi="Times New Roman"/>
                <w:lang w:val="en-US" w:eastAsia="zh-CN" w:bidi="ar"/>
              </w:rPr>
              <w:t>不含室内配套设施，不含玻璃防爆膜、防晒膜、室外灯具；</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6F43967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633" w:type="dxa"/>
            <w:tcBorders>
              <w:top w:val="nil"/>
              <w:left w:val="single" w:color="000000" w:sz="8" w:space="0"/>
              <w:bottom w:val="single" w:color="000000" w:sz="8" w:space="0"/>
              <w:right w:val="single" w:color="000000" w:sz="8" w:space="0"/>
            </w:tcBorders>
            <w:shd w:val="clear" w:color="auto" w:fill="auto"/>
            <w:vAlign w:val="center"/>
          </w:tcPr>
          <w:p w14:paraId="7BC2797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1077" w:type="dxa"/>
            <w:tcBorders>
              <w:top w:val="nil"/>
              <w:left w:val="single" w:color="000000" w:sz="8" w:space="0"/>
              <w:bottom w:val="single" w:color="000000" w:sz="8" w:space="0"/>
              <w:right w:val="single" w:color="000000" w:sz="8" w:space="0"/>
            </w:tcBorders>
            <w:shd w:val="clear" w:color="auto" w:fill="auto"/>
            <w:vAlign w:val="center"/>
          </w:tcPr>
          <w:p w14:paraId="69BCCABC">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1065" w:type="dxa"/>
            <w:tcBorders>
              <w:top w:val="nil"/>
              <w:left w:val="single" w:color="000000" w:sz="8" w:space="0"/>
              <w:bottom w:val="single" w:color="000000" w:sz="8" w:space="0"/>
              <w:right w:val="single" w:color="000000" w:sz="8" w:space="0"/>
            </w:tcBorders>
            <w:shd w:val="clear" w:color="auto" w:fill="auto"/>
            <w:vAlign w:val="center"/>
          </w:tcPr>
          <w:p w14:paraId="415F2654">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3307" w:type="dxa"/>
            <w:tcBorders>
              <w:top w:val="nil"/>
              <w:left w:val="single" w:color="000000" w:sz="8" w:space="0"/>
              <w:bottom w:val="single" w:color="000000" w:sz="8" w:space="0"/>
              <w:right w:val="single" w:color="000000" w:sz="8" w:space="0"/>
            </w:tcBorders>
            <w:shd w:val="clear" w:color="auto" w:fill="auto"/>
            <w:vAlign w:val="center"/>
          </w:tcPr>
          <w:p w14:paraId="5F69E635">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r>
              <w:drawing>
                <wp:inline distT="0" distB="0" distL="114300" distR="114300">
                  <wp:extent cx="2086610" cy="1695450"/>
                  <wp:effectExtent l="0" t="0" r="889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r:link="rId9"/>
                          <a:stretch>
                            <a:fillRect/>
                          </a:stretch>
                        </pic:blipFill>
                        <pic:spPr>
                          <a:xfrm>
                            <a:off x="0" y="0"/>
                            <a:ext cx="2086610" cy="1695450"/>
                          </a:xfrm>
                          <a:prstGeom prst="rect">
                            <a:avLst/>
                          </a:prstGeom>
                          <a:noFill/>
                          <a:ln w="9525">
                            <a:noFill/>
                          </a:ln>
                        </pic:spPr>
                      </pic:pic>
                    </a:graphicData>
                  </a:graphic>
                </wp:inline>
              </w:drawing>
            </w:r>
          </w:p>
        </w:tc>
      </w:tr>
      <w:tr w14:paraId="0861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2" w:hRule="atLeast"/>
          <w:jc w:val="center"/>
        </w:trPr>
        <w:tc>
          <w:tcPr>
            <w:tcW w:w="640" w:type="dxa"/>
            <w:tcBorders>
              <w:top w:val="nil"/>
              <w:left w:val="single" w:color="000000" w:sz="8" w:space="0"/>
              <w:bottom w:val="single" w:color="000000" w:sz="8" w:space="0"/>
              <w:right w:val="single" w:color="000000" w:sz="8" w:space="0"/>
            </w:tcBorders>
            <w:shd w:val="clear" w:color="auto" w:fill="auto"/>
            <w:vAlign w:val="center"/>
          </w:tcPr>
          <w:p w14:paraId="0DD5FEC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3753628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成品组合花箱</w:t>
            </w:r>
          </w:p>
        </w:tc>
        <w:tc>
          <w:tcPr>
            <w:tcW w:w="2115" w:type="dxa"/>
            <w:tcBorders>
              <w:top w:val="nil"/>
              <w:left w:val="single" w:color="000000" w:sz="8" w:space="0"/>
              <w:bottom w:val="single" w:color="000000" w:sz="8" w:space="0"/>
              <w:right w:val="single" w:color="000000" w:sz="8" w:space="0"/>
            </w:tcBorders>
            <w:shd w:val="clear" w:color="auto" w:fill="auto"/>
            <w:vAlign w:val="top"/>
          </w:tcPr>
          <w:p w14:paraId="06180EBD">
            <w:pPr>
              <w:keepNext w:val="0"/>
              <w:keepLines w:val="0"/>
              <w:pageBreakBefore w:val="0"/>
              <w:widowControl/>
              <w:suppressLineNumbers w:val="0"/>
              <w:kinsoku/>
              <w:wordWrap/>
              <w:overflowPunct/>
              <w:topLinePunct w:val="0"/>
              <w:autoSpaceDE/>
              <w:autoSpaceDN/>
              <w:bidi w:val="0"/>
              <w:adjustRightInd/>
              <w:snapToGrid/>
              <w:ind w:firstLineChars="0"/>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Style w:val="10"/>
                <w:rFonts w:hAnsi="Times New Roman"/>
                <w:lang w:val="en-US" w:eastAsia="zh-CN" w:bidi="ar"/>
              </w:rPr>
              <w:t>材质</w:t>
            </w:r>
            <w:r>
              <w:rPr>
                <w:rFonts w:hint="default" w:ascii="Times New Roman" w:hAnsi="Times New Roman" w:eastAsia="宋体" w:cs="Times New Roman"/>
                <w:i w:val="0"/>
                <w:iCs w:val="0"/>
                <w:color w:val="000000"/>
                <w:kern w:val="0"/>
                <w:sz w:val="21"/>
                <w:szCs w:val="21"/>
                <w:u w:val="none"/>
                <w:lang w:val="en-US" w:eastAsia="zh-CN" w:bidi="ar"/>
              </w:rPr>
              <w:t>:</w:t>
            </w:r>
            <w:r>
              <w:rPr>
                <w:rStyle w:val="10"/>
                <w:rFonts w:hAnsi="Times New Roman"/>
                <w:lang w:val="en-US" w:eastAsia="zh-CN" w:bidi="ar"/>
              </w:rPr>
              <w:t>不锈钢；</w:t>
            </w:r>
          </w:p>
          <w:p w14:paraId="6D5036F7">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10"/>
                <w:rFonts w:hAnsi="Times New Roman"/>
                <w:lang w:val="en-US" w:eastAsia="zh-CN" w:bidi="ar"/>
              </w:rPr>
              <w:t>尺寸</w:t>
            </w:r>
            <w:r>
              <w:rPr>
                <w:rFonts w:hint="default" w:ascii="Times New Roman" w:hAnsi="Times New Roman" w:eastAsia="宋体" w:cs="Times New Roman"/>
                <w:i w:val="0"/>
                <w:iCs w:val="0"/>
                <w:color w:val="000000"/>
                <w:kern w:val="0"/>
                <w:sz w:val="21"/>
                <w:szCs w:val="21"/>
                <w:u w:val="none"/>
                <w:lang w:val="en-US" w:eastAsia="zh-CN" w:bidi="ar"/>
              </w:rPr>
              <w:t>:</w:t>
            </w:r>
            <w:r>
              <w:rPr>
                <w:rStyle w:val="10"/>
                <w:rFonts w:hAnsi="Times New Roman"/>
                <w:lang w:val="en-US" w:eastAsia="zh-CN" w:bidi="ar"/>
              </w:rPr>
              <w:t>每组</w:t>
            </w:r>
            <w:r>
              <w:rPr>
                <w:rFonts w:hint="default" w:ascii="Times New Roman" w:hAnsi="Times New Roman" w:eastAsia="宋体" w:cs="Times New Roman"/>
                <w:i w:val="0"/>
                <w:iCs w:val="0"/>
                <w:color w:val="000000"/>
                <w:kern w:val="0"/>
                <w:sz w:val="21"/>
                <w:szCs w:val="21"/>
                <w:u w:val="none"/>
                <w:lang w:val="en-US" w:eastAsia="zh-CN" w:bidi="ar"/>
              </w:rPr>
              <w:t>1</w:t>
            </w:r>
            <w:r>
              <w:rPr>
                <w:rStyle w:val="10"/>
                <w:rFonts w:hAnsi="Times New Roman"/>
                <w:lang w:val="en-US" w:eastAsia="zh-CN" w:bidi="ar"/>
              </w:rPr>
              <w:t>个</w:t>
            </w:r>
            <w:r>
              <w:rPr>
                <w:rFonts w:hint="default" w:ascii="Times New Roman" w:hAnsi="Times New Roman" w:eastAsia="宋体" w:cs="Times New Roman"/>
                <w:i w:val="0"/>
                <w:iCs w:val="0"/>
                <w:color w:val="000000"/>
                <w:kern w:val="0"/>
                <w:sz w:val="21"/>
                <w:szCs w:val="21"/>
                <w:u w:val="none"/>
                <w:lang w:val="en-US" w:eastAsia="zh-CN" w:bidi="ar"/>
              </w:rPr>
              <w:t>,</w:t>
            </w:r>
            <w:r>
              <w:rPr>
                <w:rStyle w:val="10"/>
                <w:rFonts w:hAnsi="Times New Roman"/>
                <w:lang w:val="en-US" w:eastAsia="zh-CN" w:bidi="ar"/>
              </w:rPr>
              <w:t>长</w:t>
            </w:r>
            <w:r>
              <w:rPr>
                <w:rFonts w:hint="default" w:ascii="Times New Roman" w:hAnsi="Times New Roman" w:eastAsia="宋体" w:cs="Times New Roman"/>
                <w:i w:val="0"/>
                <w:iCs w:val="0"/>
                <w:color w:val="000000"/>
                <w:kern w:val="0"/>
                <w:sz w:val="21"/>
                <w:szCs w:val="21"/>
                <w:u w:val="none"/>
                <w:lang w:val="en-US" w:eastAsia="zh-CN" w:bidi="ar"/>
              </w:rPr>
              <w:t>1.14m</w:t>
            </w:r>
            <w:r>
              <w:rPr>
                <w:rStyle w:val="10"/>
                <w:rFonts w:hAnsi="Times New Roman"/>
                <w:lang w:val="en-US" w:eastAsia="zh-CN" w:bidi="ar"/>
              </w:rPr>
              <w:t>，宽</w:t>
            </w:r>
            <w:r>
              <w:rPr>
                <w:rFonts w:hint="default" w:ascii="Times New Roman" w:hAnsi="Times New Roman" w:eastAsia="宋体" w:cs="Times New Roman"/>
                <w:i w:val="0"/>
                <w:iCs w:val="0"/>
                <w:color w:val="000000"/>
                <w:kern w:val="0"/>
                <w:sz w:val="21"/>
                <w:szCs w:val="21"/>
                <w:u w:val="none"/>
                <w:lang w:val="en-US" w:eastAsia="zh-CN" w:bidi="ar"/>
              </w:rPr>
              <w:t>0.6m,</w:t>
            </w:r>
            <w:r>
              <w:rPr>
                <w:rStyle w:val="10"/>
                <w:rFonts w:hAnsi="Times New Roman"/>
                <w:lang w:val="en-US" w:eastAsia="zh-CN" w:bidi="ar"/>
              </w:rPr>
              <w:t xml:space="preserve">高 </w:t>
            </w:r>
            <w:r>
              <w:rPr>
                <w:rFonts w:hint="default" w:ascii="Times New Roman" w:hAnsi="Times New Roman" w:eastAsia="宋体" w:cs="Times New Roman"/>
                <w:i w:val="0"/>
                <w:iCs w:val="0"/>
                <w:color w:val="000000"/>
                <w:kern w:val="0"/>
                <w:sz w:val="21"/>
                <w:szCs w:val="21"/>
                <w:u w:val="none"/>
                <w:lang w:val="en-US" w:eastAsia="zh-CN" w:bidi="ar"/>
              </w:rPr>
              <w:t>0.9m</w:t>
            </w:r>
            <w:r>
              <w:rPr>
                <w:rStyle w:val="10"/>
                <w:rFonts w:hAnsi="Times New Roman"/>
                <w:lang w:val="en-US" w:eastAsia="zh-CN" w:bidi="ar"/>
              </w:rPr>
              <w:t>；</w:t>
            </w:r>
          </w:p>
          <w:p w14:paraId="5A812BF1">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10"/>
                <w:rFonts w:hAnsi="Times New Roman"/>
                <w:lang w:val="en-US" w:eastAsia="zh-CN" w:bidi="ar"/>
              </w:rPr>
              <w:t>颜色</w:t>
            </w:r>
            <w:r>
              <w:rPr>
                <w:rFonts w:hint="default" w:ascii="Times New Roman" w:hAnsi="Times New Roman" w:eastAsia="宋体" w:cs="Times New Roman"/>
                <w:i w:val="0"/>
                <w:iCs w:val="0"/>
                <w:color w:val="000000"/>
                <w:kern w:val="0"/>
                <w:sz w:val="21"/>
                <w:szCs w:val="21"/>
                <w:u w:val="none"/>
                <w:lang w:val="en-US" w:eastAsia="zh-CN" w:bidi="ar"/>
              </w:rPr>
              <w:t>:</w:t>
            </w:r>
            <w:r>
              <w:rPr>
                <w:rStyle w:val="10"/>
                <w:rFonts w:hAnsi="Times New Roman"/>
                <w:lang w:val="en-US" w:eastAsia="zh-CN" w:bidi="ar"/>
              </w:rPr>
              <w:t xml:space="preserve">深咖色，种植深度 </w:t>
            </w:r>
            <w:r>
              <w:rPr>
                <w:rFonts w:hint="default" w:ascii="Times New Roman" w:hAnsi="Times New Roman" w:eastAsia="宋体" w:cs="Times New Roman"/>
                <w:i w:val="0"/>
                <w:iCs w:val="0"/>
                <w:color w:val="000000"/>
                <w:kern w:val="0"/>
                <w:sz w:val="21"/>
                <w:szCs w:val="21"/>
                <w:u w:val="none"/>
                <w:lang w:val="en-US" w:eastAsia="zh-CN" w:bidi="ar"/>
              </w:rPr>
              <w:t>25-30</w:t>
            </w:r>
            <w:r>
              <w:rPr>
                <w:rStyle w:val="10"/>
                <w:rFonts w:hAnsi="Times New Roman"/>
                <w:lang w:val="en-US" w:eastAsia="zh-CN" w:bidi="ar"/>
              </w:rPr>
              <w:t>厘米左右；</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09DC0FB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633" w:type="dxa"/>
            <w:tcBorders>
              <w:top w:val="nil"/>
              <w:left w:val="single" w:color="000000" w:sz="8" w:space="0"/>
              <w:bottom w:val="single" w:color="000000" w:sz="8" w:space="0"/>
              <w:right w:val="single" w:color="000000" w:sz="8" w:space="0"/>
            </w:tcBorders>
            <w:shd w:val="clear" w:color="auto" w:fill="auto"/>
            <w:vAlign w:val="center"/>
          </w:tcPr>
          <w:p w14:paraId="4EE408F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1077" w:type="dxa"/>
            <w:tcBorders>
              <w:top w:val="nil"/>
              <w:left w:val="single" w:color="000000" w:sz="8" w:space="0"/>
              <w:bottom w:val="single" w:color="000000" w:sz="8" w:space="0"/>
              <w:right w:val="single" w:color="000000" w:sz="8" w:space="0"/>
            </w:tcBorders>
            <w:shd w:val="clear" w:color="auto" w:fill="auto"/>
            <w:vAlign w:val="center"/>
          </w:tcPr>
          <w:p w14:paraId="71828451">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1065" w:type="dxa"/>
            <w:tcBorders>
              <w:top w:val="nil"/>
              <w:left w:val="single" w:color="000000" w:sz="8" w:space="0"/>
              <w:bottom w:val="single" w:color="000000" w:sz="8" w:space="0"/>
              <w:right w:val="single" w:color="000000" w:sz="8" w:space="0"/>
            </w:tcBorders>
            <w:shd w:val="clear" w:color="auto" w:fill="auto"/>
            <w:vAlign w:val="center"/>
          </w:tcPr>
          <w:p w14:paraId="4DE81548">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3307" w:type="dxa"/>
            <w:tcBorders>
              <w:top w:val="nil"/>
              <w:left w:val="single" w:color="000000" w:sz="8" w:space="0"/>
              <w:bottom w:val="single" w:color="000000" w:sz="8" w:space="0"/>
              <w:right w:val="single" w:color="000000" w:sz="8" w:space="0"/>
            </w:tcBorders>
            <w:shd w:val="clear" w:color="auto" w:fill="auto"/>
            <w:vAlign w:val="center"/>
          </w:tcPr>
          <w:p w14:paraId="436E6733">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rPr>
            </w:pPr>
            <w:r>
              <w:drawing>
                <wp:inline distT="0" distB="0" distL="114300" distR="114300">
                  <wp:extent cx="1905000" cy="112395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r:link="rId11"/>
                          <a:stretch>
                            <a:fillRect/>
                          </a:stretch>
                        </pic:blipFill>
                        <pic:spPr>
                          <a:xfrm>
                            <a:off x="0" y="0"/>
                            <a:ext cx="1905000" cy="1123950"/>
                          </a:xfrm>
                          <a:prstGeom prst="rect">
                            <a:avLst/>
                          </a:prstGeom>
                          <a:noFill/>
                          <a:ln w="9525">
                            <a:noFill/>
                          </a:ln>
                        </pic:spPr>
                      </pic:pic>
                    </a:graphicData>
                  </a:graphic>
                </wp:inline>
              </w:drawing>
            </w:r>
          </w:p>
        </w:tc>
      </w:tr>
      <w:tr w14:paraId="51E0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640" w:type="dxa"/>
            <w:tcBorders>
              <w:top w:val="nil"/>
              <w:left w:val="single" w:color="000000" w:sz="8" w:space="0"/>
              <w:bottom w:val="single" w:color="000000" w:sz="8" w:space="0"/>
              <w:right w:val="single" w:color="000000" w:sz="8" w:space="0"/>
            </w:tcBorders>
            <w:shd w:val="clear" w:color="auto" w:fill="auto"/>
            <w:vAlign w:val="center"/>
          </w:tcPr>
          <w:p w14:paraId="7BA69D2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30A6847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成品室外太阳伞</w:t>
            </w:r>
          </w:p>
        </w:tc>
        <w:tc>
          <w:tcPr>
            <w:tcW w:w="2115" w:type="dxa"/>
            <w:tcBorders>
              <w:top w:val="nil"/>
              <w:left w:val="single" w:color="000000" w:sz="8" w:space="0"/>
              <w:bottom w:val="single" w:color="000000" w:sz="8" w:space="0"/>
              <w:right w:val="single" w:color="000000" w:sz="8" w:space="0"/>
            </w:tcBorders>
            <w:shd w:val="clear" w:color="auto" w:fill="auto"/>
            <w:vAlign w:val="top"/>
          </w:tcPr>
          <w:p w14:paraId="308BD8B4">
            <w:pPr>
              <w:keepNext w:val="0"/>
              <w:keepLines w:val="0"/>
              <w:pageBreakBefore w:val="0"/>
              <w:widowControl/>
              <w:suppressLineNumbers w:val="0"/>
              <w:kinsoku/>
              <w:wordWrap/>
              <w:overflowPunct/>
              <w:topLinePunct w:val="0"/>
              <w:autoSpaceDE/>
              <w:autoSpaceDN/>
              <w:bidi w:val="0"/>
              <w:adjustRightInd/>
              <w:snapToGrid/>
              <w:ind w:firstLineChars="0"/>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Style w:val="10"/>
                <w:rFonts w:hAnsi="Times New Roman"/>
                <w:lang w:val="en-US" w:eastAsia="zh-CN" w:bidi="ar"/>
              </w:rPr>
              <w:t>材质</w:t>
            </w:r>
            <w:r>
              <w:rPr>
                <w:rFonts w:hint="default" w:ascii="Times New Roman" w:hAnsi="Times New Roman" w:eastAsia="宋体" w:cs="Times New Roman"/>
                <w:i w:val="0"/>
                <w:iCs w:val="0"/>
                <w:color w:val="000000"/>
                <w:kern w:val="0"/>
                <w:sz w:val="21"/>
                <w:szCs w:val="21"/>
                <w:u w:val="none"/>
                <w:lang w:val="en-US" w:eastAsia="zh-CN" w:bidi="ar"/>
              </w:rPr>
              <w:t>:</w:t>
            </w:r>
            <w:r>
              <w:rPr>
                <w:rStyle w:val="10"/>
                <w:rFonts w:hAnsi="Times New Roman"/>
                <w:lang w:val="en-US" w:eastAsia="zh-CN" w:bidi="ar"/>
              </w:rPr>
              <w:t>金属；</w:t>
            </w:r>
          </w:p>
          <w:p w14:paraId="4676729E">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10"/>
                <w:rFonts w:hAnsi="Times New Roman"/>
                <w:lang w:val="en-US" w:eastAsia="zh-CN" w:bidi="ar"/>
              </w:rPr>
              <w:t>尺寸</w:t>
            </w:r>
            <w:r>
              <w:rPr>
                <w:rFonts w:hint="default" w:ascii="Times New Roman" w:hAnsi="Times New Roman" w:eastAsia="宋体" w:cs="Times New Roman"/>
                <w:i w:val="0"/>
                <w:iCs w:val="0"/>
                <w:color w:val="000000"/>
                <w:kern w:val="0"/>
                <w:sz w:val="21"/>
                <w:szCs w:val="21"/>
                <w:u w:val="none"/>
                <w:lang w:val="en-US" w:eastAsia="zh-CN" w:bidi="ar"/>
              </w:rPr>
              <w:t>:</w:t>
            </w:r>
            <w:r>
              <w:rPr>
                <w:rStyle w:val="10"/>
                <w:rFonts w:hAnsi="Times New Roman"/>
                <w:lang w:val="en-US" w:eastAsia="zh-CN" w:bidi="ar"/>
              </w:rPr>
              <w:t>阳伞直径</w:t>
            </w:r>
            <w:r>
              <w:rPr>
                <w:rFonts w:hint="default" w:ascii="Times New Roman" w:hAnsi="Times New Roman" w:eastAsia="宋体" w:cs="Times New Roman"/>
                <w:i w:val="0"/>
                <w:iCs w:val="0"/>
                <w:color w:val="000000"/>
                <w:kern w:val="0"/>
                <w:sz w:val="21"/>
                <w:szCs w:val="21"/>
                <w:u w:val="none"/>
                <w:lang w:val="en-US" w:eastAsia="zh-CN" w:bidi="ar"/>
              </w:rPr>
              <w:t>3m</w:t>
            </w:r>
            <w:r>
              <w:rPr>
                <w:rStyle w:val="10"/>
                <w:rFonts w:hAnsi="Times New Roman"/>
                <w:lang w:val="en-US" w:eastAsia="zh-CN" w:bidi="ar"/>
              </w:rPr>
              <w:t>；</w:t>
            </w:r>
          </w:p>
          <w:p w14:paraId="4FF274DB">
            <w:pPr>
              <w:keepNext w:val="0"/>
              <w:keepLines w:val="0"/>
              <w:pageBreakBefore w:val="0"/>
              <w:widowControl/>
              <w:suppressLineNumbers w:val="0"/>
              <w:kinsoku/>
              <w:wordWrap/>
              <w:overflowPunct/>
              <w:topLinePunct w:val="0"/>
              <w:autoSpaceDE/>
              <w:autoSpaceDN/>
              <w:bidi w:val="0"/>
              <w:adjustRightInd/>
              <w:snapToGrid/>
              <w:ind w:firstLineChars="0"/>
              <w:jc w:val="both"/>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10"/>
                <w:rFonts w:hAnsi="Times New Roman"/>
                <w:lang w:val="en-US" w:eastAsia="zh-CN" w:bidi="ar"/>
              </w:rPr>
              <w:t>配一桌四椅，椅子为铝合金网布椅子，长</w:t>
            </w:r>
            <w:r>
              <w:rPr>
                <w:rFonts w:hint="default" w:ascii="Times New Roman" w:hAnsi="Times New Roman" w:eastAsia="宋体" w:cs="Times New Roman"/>
                <w:i w:val="0"/>
                <w:iCs w:val="0"/>
                <w:color w:val="000000"/>
                <w:kern w:val="0"/>
                <w:sz w:val="21"/>
                <w:szCs w:val="21"/>
                <w:u w:val="none"/>
                <w:lang w:val="en-US" w:eastAsia="zh-CN" w:bidi="ar"/>
              </w:rPr>
              <w:t>0.525m</w:t>
            </w:r>
            <w:r>
              <w:rPr>
                <w:rStyle w:val="10"/>
                <w:rFonts w:hAnsi="Times New Roman"/>
                <w:lang w:val="en-US" w:eastAsia="zh-CN" w:bidi="ar"/>
              </w:rPr>
              <w:t>，宽</w:t>
            </w:r>
            <w:r>
              <w:rPr>
                <w:rFonts w:hint="default" w:ascii="Times New Roman" w:hAnsi="Times New Roman" w:eastAsia="宋体" w:cs="Times New Roman"/>
                <w:i w:val="0"/>
                <w:iCs w:val="0"/>
                <w:color w:val="000000"/>
                <w:kern w:val="0"/>
                <w:sz w:val="21"/>
                <w:szCs w:val="21"/>
                <w:u w:val="none"/>
                <w:lang w:val="en-US" w:eastAsia="zh-CN" w:bidi="ar"/>
              </w:rPr>
              <w:t>0.59m</w:t>
            </w:r>
            <w:r>
              <w:rPr>
                <w:rStyle w:val="10"/>
                <w:rFonts w:hAnsi="Times New Roman"/>
                <w:lang w:val="en-US" w:eastAsia="zh-CN" w:bidi="ar"/>
              </w:rPr>
              <w:t>，高</w:t>
            </w:r>
            <w:r>
              <w:rPr>
                <w:rFonts w:hint="default" w:ascii="Times New Roman" w:hAnsi="Times New Roman" w:eastAsia="宋体" w:cs="Times New Roman"/>
                <w:i w:val="0"/>
                <w:iCs w:val="0"/>
                <w:color w:val="000000"/>
                <w:kern w:val="0"/>
                <w:sz w:val="21"/>
                <w:szCs w:val="21"/>
                <w:u w:val="none"/>
                <w:lang w:val="en-US" w:eastAsia="zh-CN" w:bidi="ar"/>
              </w:rPr>
              <w:t>85cm</w:t>
            </w:r>
            <w:r>
              <w:rPr>
                <w:rStyle w:val="10"/>
                <w:rFonts w:hAnsi="Times New Roman"/>
                <w:lang w:val="en-US" w:eastAsia="zh-CN" w:bidi="ar"/>
              </w:rPr>
              <w:t>；桌子为铝合金长方桌，长度</w:t>
            </w:r>
            <w:r>
              <w:rPr>
                <w:rFonts w:hint="default" w:ascii="Times New Roman" w:hAnsi="Times New Roman" w:eastAsia="宋体" w:cs="Times New Roman"/>
                <w:i w:val="0"/>
                <w:iCs w:val="0"/>
                <w:color w:val="000000"/>
                <w:kern w:val="0"/>
                <w:sz w:val="21"/>
                <w:szCs w:val="21"/>
                <w:u w:val="none"/>
                <w:lang w:val="en-US" w:eastAsia="zh-CN" w:bidi="ar"/>
              </w:rPr>
              <w:t>160cm</w:t>
            </w:r>
            <w:r>
              <w:rPr>
                <w:rStyle w:val="10"/>
                <w:rFonts w:hAnsi="Times New Roman"/>
                <w:lang w:val="en-US" w:eastAsia="zh-CN" w:bidi="ar"/>
              </w:rPr>
              <w:t>，宽度</w:t>
            </w:r>
            <w:r>
              <w:rPr>
                <w:rFonts w:hint="default" w:ascii="Times New Roman" w:hAnsi="Times New Roman" w:eastAsia="宋体" w:cs="Times New Roman"/>
                <w:i w:val="0"/>
                <w:iCs w:val="0"/>
                <w:color w:val="000000"/>
                <w:kern w:val="0"/>
                <w:sz w:val="21"/>
                <w:szCs w:val="21"/>
                <w:u w:val="none"/>
                <w:lang w:val="en-US" w:eastAsia="zh-CN" w:bidi="ar"/>
              </w:rPr>
              <w:t>90cm</w:t>
            </w:r>
            <w:r>
              <w:rPr>
                <w:rStyle w:val="10"/>
                <w:rFonts w:hAnsi="Times New Roman"/>
                <w:lang w:val="en-US" w:eastAsia="zh-CN" w:bidi="ar"/>
              </w:rPr>
              <w:t>；</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09C091C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633" w:type="dxa"/>
            <w:tcBorders>
              <w:top w:val="nil"/>
              <w:left w:val="single" w:color="000000" w:sz="8" w:space="0"/>
              <w:bottom w:val="single" w:color="000000" w:sz="8" w:space="0"/>
              <w:right w:val="single" w:color="000000" w:sz="8" w:space="0"/>
            </w:tcBorders>
            <w:shd w:val="clear" w:color="auto" w:fill="auto"/>
            <w:vAlign w:val="center"/>
          </w:tcPr>
          <w:p w14:paraId="149FC41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1077" w:type="dxa"/>
            <w:tcBorders>
              <w:top w:val="nil"/>
              <w:left w:val="single" w:color="000000" w:sz="8" w:space="0"/>
              <w:bottom w:val="single" w:color="000000" w:sz="8" w:space="0"/>
              <w:right w:val="single" w:color="000000" w:sz="8" w:space="0"/>
            </w:tcBorders>
            <w:shd w:val="clear" w:color="auto" w:fill="auto"/>
            <w:vAlign w:val="center"/>
          </w:tcPr>
          <w:p w14:paraId="690162B1">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1065" w:type="dxa"/>
            <w:tcBorders>
              <w:top w:val="nil"/>
              <w:left w:val="single" w:color="000000" w:sz="8" w:space="0"/>
              <w:bottom w:val="single" w:color="000000" w:sz="8" w:space="0"/>
              <w:right w:val="single" w:color="000000" w:sz="8" w:space="0"/>
            </w:tcBorders>
            <w:shd w:val="clear" w:color="auto" w:fill="auto"/>
            <w:vAlign w:val="center"/>
          </w:tcPr>
          <w:p w14:paraId="372CED70">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3307" w:type="dxa"/>
            <w:tcBorders>
              <w:top w:val="nil"/>
              <w:left w:val="single" w:color="000000" w:sz="8" w:space="0"/>
              <w:bottom w:val="single" w:color="000000" w:sz="8" w:space="0"/>
              <w:right w:val="single" w:color="000000" w:sz="8" w:space="0"/>
            </w:tcBorders>
            <w:shd w:val="clear" w:color="auto" w:fill="auto"/>
            <w:vAlign w:val="center"/>
          </w:tcPr>
          <w:p w14:paraId="36657FDE">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rPr>
            </w:pPr>
            <w:r>
              <w:drawing>
                <wp:inline distT="0" distB="0" distL="114300" distR="114300">
                  <wp:extent cx="1667510" cy="2171700"/>
                  <wp:effectExtent l="0" t="0" r="889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2" r:link="rId13"/>
                          <a:stretch>
                            <a:fillRect/>
                          </a:stretch>
                        </pic:blipFill>
                        <pic:spPr>
                          <a:xfrm>
                            <a:off x="0" y="0"/>
                            <a:ext cx="1667510" cy="2171700"/>
                          </a:xfrm>
                          <a:prstGeom prst="rect">
                            <a:avLst/>
                          </a:prstGeom>
                          <a:noFill/>
                          <a:ln w="9525">
                            <a:noFill/>
                          </a:ln>
                        </pic:spPr>
                      </pic:pic>
                    </a:graphicData>
                  </a:graphic>
                </wp:inline>
              </w:drawing>
            </w:r>
          </w:p>
        </w:tc>
      </w:tr>
      <w:tr w14:paraId="38335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jc w:val="center"/>
        </w:trPr>
        <w:tc>
          <w:tcPr>
            <w:tcW w:w="5890" w:type="dxa"/>
            <w:gridSpan w:val="6"/>
            <w:tcBorders>
              <w:top w:val="nil"/>
              <w:left w:val="single" w:color="000000" w:sz="8" w:space="0"/>
              <w:bottom w:val="single" w:color="000000" w:sz="8" w:space="0"/>
              <w:right w:val="single" w:color="000000" w:sz="8" w:space="0"/>
            </w:tcBorders>
            <w:shd w:val="clear" w:color="auto" w:fill="auto"/>
            <w:vAlign w:val="center"/>
          </w:tcPr>
          <w:p w14:paraId="49BFB3D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合计：（元）</w:t>
            </w:r>
          </w:p>
        </w:tc>
        <w:tc>
          <w:tcPr>
            <w:tcW w:w="1065" w:type="dxa"/>
            <w:tcBorders>
              <w:top w:val="nil"/>
              <w:left w:val="single" w:color="000000" w:sz="8" w:space="0"/>
              <w:bottom w:val="single" w:color="000000" w:sz="8" w:space="0"/>
              <w:right w:val="single" w:color="000000" w:sz="8" w:space="0"/>
            </w:tcBorders>
            <w:shd w:val="clear" w:color="auto" w:fill="auto"/>
            <w:vAlign w:val="center"/>
          </w:tcPr>
          <w:p w14:paraId="01C1BBCB">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3307" w:type="dxa"/>
            <w:tcBorders>
              <w:top w:val="nil"/>
              <w:left w:val="single" w:color="000000" w:sz="8" w:space="0"/>
              <w:bottom w:val="single" w:color="000000" w:sz="8" w:space="0"/>
              <w:right w:val="single" w:color="000000" w:sz="8" w:space="0"/>
            </w:tcBorders>
            <w:shd w:val="clear" w:color="auto" w:fill="auto"/>
            <w:noWrap/>
            <w:vAlign w:val="center"/>
          </w:tcPr>
          <w:p w14:paraId="513F420A">
            <w:pPr>
              <w:keepNext w:val="0"/>
              <w:keepLines w:val="0"/>
              <w:pageBreakBefore w:val="0"/>
              <w:widowControl/>
              <w:kinsoku/>
              <w:wordWrap/>
              <w:overflowPunct/>
              <w:topLinePunct w:val="0"/>
              <w:autoSpaceDE/>
              <w:autoSpaceDN/>
              <w:bidi w:val="0"/>
              <w:adjustRightInd/>
              <w:snapToGrid/>
              <w:ind w:firstLineChars="0"/>
              <w:rPr>
                <w:rFonts w:hint="eastAsia" w:ascii="宋体" w:hAnsi="宋体" w:eastAsia="宋体" w:cs="宋体"/>
                <w:i w:val="0"/>
                <w:iCs w:val="0"/>
                <w:color w:val="000000"/>
                <w:sz w:val="22"/>
                <w:szCs w:val="22"/>
                <w:u w:val="none"/>
              </w:rPr>
            </w:pPr>
          </w:p>
        </w:tc>
      </w:tr>
    </w:tbl>
    <w:p w14:paraId="1EFC3FB5">
      <w:pPr>
        <w:rPr>
          <w:rFonts w:hint="default" w:ascii="Times New Roman" w:hAnsi="Times New Roman" w:eastAsia="黑体" w:cs="Times New Roman"/>
          <w:bCs/>
          <w:color w:val="auto"/>
          <w:sz w:val="32"/>
          <w:szCs w:val="32"/>
          <w:highlight w:val="none"/>
          <w:lang w:eastAsia="zh-CN"/>
        </w:rPr>
      </w:pPr>
    </w:p>
    <w:p w14:paraId="2B32280E">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default" w:eastAsia="宋体"/>
          <w:sz w:val="24"/>
          <w:szCs w:val="32"/>
          <w:u w:val="single"/>
          <w:lang w:val="en-US" w:eastAsia="zh-CN"/>
        </w:rPr>
      </w:pPr>
      <w:r>
        <w:rPr>
          <w:rFonts w:hint="eastAsia" w:ascii="Times New Roman" w:hAnsi="Times New Roman" w:eastAsia="仿宋_GB2312" w:cs="Times New Roman"/>
          <w:color w:val="auto"/>
          <w:sz w:val="21"/>
          <w:szCs w:val="21"/>
          <w:highlight w:val="none"/>
          <w:lang w:val="en-US" w:eastAsia="zh-CN"/>
        </w:rPr>
        <w:t>注：</w:t>
      </w:r>
      <w:r>
        <w:rPr>
          <w:rFonts w:hint="eastAsia" w:eastAsia="仿宋_GB2312" w:cs="Times New Roman"/>
          <w:color w:val="auto"/>
          <w:sz w:val="21"/>
          <w:szCs w:val="21"/>
          <w:highlight w:val="none"/>
          <w:lang w:val="en-US" w:eastAsia="zh-CN"/>
        </w:rPr>
        <w:t>所有报价均用人民币表示，该单价为固定综合单价，包括但不限于运输费、上下车费、安装费、管理费、利润、税金等为完成本项目材料供应的所有费用。</w:t>
      </w:r>
    </w:p>
    <w:p w14:paraId="2B738A6A">
      <w:pPr>
        <w:rPr>
          <w:rFonts w:hint="default"/>
          <w:lang w:val="en-US" w:eastAsia="zh-CN"/>
        </w:rPr>
      </w:pPr>
    </w:p>
    <w:p w14:paraId="009B1858">
      <w:pPr>
        <w:rPr>
          <w:rFonts w:hint="default" w:ascii="Times New Roman" w:hAnsi="Times New Roman" w:cs="Times New Roman"/>
          <w:lang w:val="en-US" w:eastAsia="zh-CN"/>
        </w:rPr>
      </w:pPr>
    </w:p>
    <w:p w14:paraId="208D4D5A">
      <w:pPr>
        <w:pStyle w:val="3"/>
        <w:rPr>
          <w:rFonts w:hint="default"/>
          <w:lang w:val="en-US" w:eastAsia="zh-CN"/>
        </w:rPr>
        <w:sectPr>
          <w:pgSz w:w="11906" w:h="16838"/>
          <w:pgMar w:top="1440" w:right="1417" w:bottom="1440" w:left="1800" w:header="851" w:footer="992" w:gutter="0"/>
          <w:cols w:space="425" w:num="1"/>
          <w:docGrid w:type="lines" w:linePitch="312" w:charSpace="0"/>
        </w:sectPr>
      </w:pPr>
    </w:p>
    <w:p w14:paraId="251E0E8C">
      <w:pPr>
        <w:pStyle w:val="6"/>
        <w:ind w:left="0" w:leftChars="0" w:firstLine="0" w:firstLineChars="0"/>
        <w:jc w:val="center"/>
        <w:rPr>
          <w:rFonts w:hint="eastAsia" w:eastAsia="仿宋" w:cs="Times New Roman"/>
          <w:bCs/>
          <w:sz w:val="32"/>
          <w:szCs w:val="32"/>
          <w:highlight w:val="none"/>
          <w:lang w:val="en-US" w:eastAsia="zh-CN"/>
        </w:rPr>
      </w:pPr>
      <w:r>
        <w:rPr>
          <w:rFonts w:hint="eastAsia" w:eastAsia="仿宋" w:cs="Times New Roman"/>
          <w:bCs/>
          <w:sz w:val="32"/>
          <w:szCs w:val="32"/>
          <w:highlight w:val="none"/>
          <w:lang w:val="en-US" w:eastAsia="zh-CN"/>
        </w:rPr>
        <w:t>合同（范本）</w:t>
      </w:r>
    </w:p>
    <w:p w14:paraId="479E1ADF">
      <w:pPr>
        <w:pStyle w:val="6"/>
        <w:ind w:left="0" w:leftChars="0" w:firstLine="0" w:firstLineChars="0"/>
        <w:jc w:val="center"/>
        <w:rPr>
          <w:rFonts w:hint="default" w:eastAsia="仿宋" w:cs="Times New Roman"/>
          <w:bCs/>
          <w:sz w:val="32"/>
          <w:szCs w:val="32"/>
          <w:highlight w:val="none"/>
          <w:lang w:val="en-US" w:eastAsia="zh-CN"/>
        </w:rPr>
      </w:pPr>
      <w:r>
        <w:rPr>
          <w:rFonts w:hint="eastAsia" w:eastAsia="仿宋" w:cs="Times New Roman"/>
          <w:bCs/>
          <w:sz w:val="32"/>
          <w:szCs w:val="32"/>
          <w:highlight w:val="none"/>
          <w:lang w:val="en-US" w:eastAsia="zh-CN"/>
        </w:rPr>
        <w:t>（本合同主要条款作为双方签订合同的参考，但不得与询价文件的实质性内容相背离，以最终签订的合同文本为准。）</w:t>
      </w:r>
    </w:p>
    <w:p w14:paraId="110DDAA6">
      <w:pPr>
        <w:pStyle w:val="2"/>
        <w:rPr>
          <w:rFonts w:ascii="宋体" w:hAnsi="宋体" w:cs="宋体"/>
          <w:sz w:val="28"/>
          <w:szCs w:val="28"/>
          <w:highlight w:val="none"/>
        </w:rPr>
      </w:pPr>
      <w:bookmarkStart w:id="0" w:name="_Toc54012987"/>
      <w:r>
        <w:rPr>
          <w:rFonts w:hint="eastAsia" w:ascii="黑体" w:hAnsi="宋体" w:eastAsia="黑体"/>
          <w:b w:val="0"/>
          <w:bCs w:val="0"/>
          <w:sz w:val="32"/>
          <w:szCs w:val="32"/>
          <w:highlight w:val="none"/>
        </w:rPr>
        <w:t xml:space="preserve"> </w:t>
      </w:r>
      <w:bookmarkEnd w:id="0"/>
      <w:bookmarkStart w:id="1" w:name="_Toc19141"/>
      <w:bookmarkStart w:id="2" w:name="_Toc10886"/>
      <w:bookmarkStart w:id="3" w:name="_Toc21292"/>
      <w:bookmarkStart w:id="4" w:name="_Toc10698"/>
      <w:bookmarkStart w:id="5" w:name="_Toc22994"/>
      <w:bookmarkStart w:id="6" w:name="_Toc8710"/>
      <w:bookmarkStart w:id="7" w:name="_Toc96096662"/>
      <w:bookmarkStart w:id="8" w:name="_Toc24716"/>
      <w:r>
        <w:rPr>
          <w:rFonts w:hint="eastAsia" w:ascii="宋体" w:hAnsi="宋体" w:cs="宋体"/>
          <w:sz w:val="28"/>
          <w:szCs w:val="28"/>
          <w:highlight w:val="none"/>
        </w:rPr>
        <w:t>合同编号：</w:t>
      </w:r>
      <w:bookmarkEnd w:id="1"/>
      <w:bookmarkEnd w:id="2"/>
      <w:bookmarkEnd w:id="3"/>
      <w:bookmarkEnd w:id="4"/>
      <w:bookmarkEnd w:id="5"/>
      <w:bookmarkEnd w:id="6"/>
    </w:p>
    <w:p w14:paraId="33DC493A">
      <w:pPr>
        <w:rPr>
          <w:rFonts w:ascii="宋体" w:hAnsi="宋体" w:cs="宋体"/>
          <w:sz w:val="28"/>
          <w:szCs w:val="28"/>
          <w:highlight w:val="none"/>
        </w:rPr>
      </w:pPr>
    </w:p>
    <w:p w14:paraId="79A046BD">
      <w:pPr>
        <w:pStyle w:val="3"/>
        <w:jc w:val="center"/>
        <w:rPr>
          <w:rFonts w:hint="eastAsia" w:ascii="宋体" w:hAnsi="宋体" w:cs="宋体"/>
          <w:b/>
          <w:bCs/>
          <w:sz w:val="44"/>
          <w:szCs w:val="44"/>
          <w:highlight w:val="none"/>
        </w:rPr>
      </w:pPr>
    </w:p>
    <w:p w14:paraId="70F45EF7">
      <w:pPr>
        <w:pStyle w:val="3"/>
        <w:rPr>
          <w:rFonts w:ascii="宋体" w:hAnsi="宋体"/>
          <w:b/>
          <w:bCs/>
          <w:sz w:val="32"/>
          <w:highlight w:val="none"/>
        </w:rPr>
      </w:pPr>
    </w:p>
    <w:p w14:paraId="39705BD7">
      <w:pPr>
        <w:pStyle w:val="6"/>
        <w:ind w:firstLine="321"/>
        <w:rPr>
          <w:rFonts w:ascii="宋体" w:hAnsi="宋体"/>
          <w:b/>
          <w:bCs/>
          <w:sz w:val="32"/>
          <w:highlight w:val="none"/>
        </w:rPr>
      </w:pPr>
    </w:p>
    <w:p w14:paraId="17AAE863">
      <w:pPr>
        <w:spacing w:line="240" w:lineRule="auto"/>
        <w:jc w:val="center"/>
        <w:outlineLvl w:val="1"/>
        <w:rPr>
          <w:rFonts w:hint="default" w:ascii="方正小标宋简体" w:hAnsi="方正小标宋简体" w:eastAsia="方正小标宋简体" w:cs="方正小标宋简体"/>
          <w:sz w:val="44"/>
          <w:szCs w:val="44"/>
          <w:highlight w:val="none"/>
          <w:lang w:val="en-US"/>
        </w:rPr>
      </w:pPr>
      <w:r>
        <w:rPr>
          <w:rFonts w:hint="eastAsia" w:ascii="宋体" w:hAnsi="宋体" w:cs="宋体"/>
          <w:sz w:val="44"/>
          <w:szCs w:val="44"/>
          <w:highlight w:val="none"/>
          <w:u w:val="single"/>
          <w:lang w:val="en-US" w:eastAsia="zh-CN"/>
        </w:rPr>
        <w:t>广汉市航天航空科技孵化产业园项目-科技孵化中心及科技实验基地成品岗亭、组合花箱等材料采购合同</w:t>
      </w:r>
    </w:p>
    <w:p w14:paraId="1100A5F2">
      <w:pPr>
        <w:pStyle w:val="6"/>
        <w:ind w:firstLine="321"/>
        <w:rPr>
          <w:rFonts w:ascii="宋体" w:hAnsi="宋体"/>
          <w:b/>
          <w:bCs/>
          <w:sz w:val="32"/>
          <w:highlight w:val="none"/>
        </w:rPr>
      </w:pPr>
    </w:p>
    <w:p w14:paraId="4989C937">
      <w:pPr>
        <w:pStyle w:val="6"/>
        <w:ind w:firstLine="321"/>
        <w:rPr>
          <w:rFonts w:ascii="宋体" w:hAnsi="宋体"/>
          <w:b/>
          <w:bCs/>
          <w:sz w:val="32"/>
          <w:highlight w:val="none"/>
        </w:rPr>
      </w:pPr>
    </w:p>
    <w:p w14:paraId="4862F51A">
      <w:pPr>
        <w:pStyle w:val="6"/>
        <w:ind w:firstLine="321"/>
        <w:rPr>
          <w:rFonts w:ascii="宋体" w:hAnsi="宋体"/>
          <w:b/>
          <w:bCs/>
          <w:sz w:val="32"/>
          <w:highlight w:val="none"/>
        </w:rPr>
      </w:pPr>
    </w:p>
    <w:p w14:paraId="08FA165B">
      <w:pPr>
        <w:pStyle w:val="6"/>
        <w:ind w:firstLine="321"/>
        <w:rPr>
          <w:rFonts w:ascii="宋体" w:hAnsi="宋体"/>
          <w:b/>
          <w:bCs/>
          <w:sz w:val="32"/>
          <w:highlight w:val="none"/>
        </w:rPr>
      </w:pPr>
    </w:p>
    <w:p w14:paraId="757A12CE">
      <w:pPr>
        <w:pStyle w:val="6"/>
        <w:ind w:firstLine="321"/>
        <w:rPr>
          <w:rFonts w:ascii="宋体" w:hAnsi="宋体"/>
          <w:b/>
          <w:bCs/>
          <w:sz w:val="32"/>
          <w:highlight w:val="none"/>
        </w:rPr>
      </w:pPr>
    </w:p>
    <w:p w14:paraId="482C6EAD">
      <w:pPr>
        <w:pStyle w:val="6"/>
        <w:ind w:firstLine="0" w:firstLineChars="0"/>
        <w:jc w:val="center"/>
        <w:rPr>
          <w:rFonts w:ascii="黑体" w:hAnsi="黑体" w:eastAsia="黑体" w:cs="黑体"/>
          <w:sz w:val="44"/>
          <w:szCs w:val="44"/>
          <w:highlight w:val="none"/>
        </w:rPr>
        <w:sectPr>
          <w:footerReference r:id="rId6" w:type="first"/>
          <w:footerReference r:id="rId4" w:type="default"/>
          <w:headerReference r:id="rId3" w:type="even"/>
          <w:footerReference r:id="rId5" w:type="even"/>
          <w:pgSz w:w="11906" w:h="16838"/>
          <w:pgMar w:top="779" w:right="1466" w:bottom="779" w:left="1134" w:header="851" w:footer="992" w:gutter="0"/>
          <w:cols w:space="720" w:num="1"/>
          <w:docGrid w:type="lines" w:linePitch="312" w:charSpace="0"/>
        </w:sectPr>
      </w:pPr>
      <w:r>
        <w:rPr>
          <w:rFonts w:hint="eastAsia" w:ascii="宋体" w:hAnsi="宋体" w:cs="宋体"/>
          <w:sz w:val="28"/>
          <w:szCs w:val="28"/>
          <w:highlight w:val="none"/>
        </w:rPr>
        <w:t>签订日期</w:t>
      </w:r>
    </w:p>
    <w:bookmarkEnd w:id="7"/>
    <w:bookmarkEnd w:id="8"/>
    <w:p w14:paraId="4583CB5F">
      <w:pPr>
        <w:spacing w:line="560" w:lineRule="exact"/>
        <w:ind w:left="359" w:leftChars="171" w:right="359" w:rightChars="171" w:firstLine="480" w:firstLineChars="200"/>
        <w:rPr>
          <w:rFonts w:ascii="仿宋" w:hAnsi="仿宋" w:eastAsia="仿宋" w:cs="仿宋"/>
          <w:snapToGrid w:val="0"/>
          <w:color w:val="000000"/>
          <w:kern w:val="0"/>
          <w:sz w:val="24"/>
          <w:highlight w:val="none"/>
        </w:rPr>
      </w:pPr>
      <w:r>
        <w:rPr>
          <w:rFonts w:hint="eastAsia" w:ascii="仿宋" w:hAnsi="仿宋" w:eastAsia="仿宋" w:cs="仿宋"/>
          <w:color w:val="000000"/>
          <w:sz w:val="24"/>
          <w:highlight w:val="none"/>
        </w:rPr>
        <w:t xml:space="preserve">  合同编号：</w:t>
      </w:r>
    </w:p>
    <w:p w14:paraId="7878CD49">
      <w:pPr>
        <w:tabs>
          <w:tab w:val="left" w:pos="567"/>
        </w:tabs>
        <w:spacing w:line="560" w:lineRule="exact"/>
        <w:ind w:firstLine="480" w:firstLineChars="200"/>
        <w:jc w:val="left"/>
        <w:rPr>
          <w:rFonts w:ascii="仿宋" w:hAnsi="仿宋" w:eastAsia="仿宋" w:cs="仿宋"/>
          <w:color w:val="000000"/>
          <w:sz w:val="24"/>
          <w:highlight w:val="none"/>
        </w:rPr>
      </w:pPr>
      <w:r>
        <w:rPr>
          <w:rFonts w:hint="eastAsia" w:ascii="仿宋" w:hAnsi="仿宋" w:eastAsia="仿宋" w:cs="仿宋"/>
          <w:snapToGrid w:val="0"/>
          <w:color w:val="000000"/>
          <w:kern w:val="0"/>
          <w:sz w:val="24"/>
          <w:highlight w:val="none"/>
        </w:rPr>
        <w:t>工程</w:t>
      </w:r>
      <w:r>
        <w:rPr>
          <w:rFonts w:hint="eastAsia" w:ascii="仿宋" w:hAnsi="仿宋" w:eastAsia="仿宋" w:cs="仿宋"/>
          <w:color w:val="000000"/>
          <w:sz w:val="24"/>
          <w:highlight w:val="none"/>
          <w:lang w:val="en-US" w:eastAsia="zh-CN"/>
        </w:rPr>
        <w:t>采购</w:t>
      </w:r>
      <w:r>
        <w:rPr>
          <w:rFonts w:hint="eastAsia" w:ascii="仿宋" w:hAnsi="仿宋" w:eastAsia="仿宋" w:cs="仿宋"/>
          <w:color w:val="000000"/>
          <w:sz w:val="24"/>
          <w:highlight w:val="none"/>
        </w:rPr>
        <w:t>人：</w:t>
      </w:r>
      <w:r>
        <w:rPr>
          <w:rFonts w:hint="eastAsia" w:ascii="仿宋" w:hAnsi="仿宋" w:eastAsia="仿宋" w:cs="仿宋"/>
          <w:color w:val="000000"/>
          <w:sz w:val="24"/>
          <w:highlight w:val="none"/>
          <w:u w:val="single"/>
        </w:rPr>
        <w:t xml:space="preserve"> 四川中彩源建设工程有限公司       </w:t>
      </w:r>
      <w:r>
        <w:rPr>
          <w:rFonts w:hint="eastAsia" w:ascii="仿宋" w:hAnsi="仿宋" w:eastAsia="仿宋" w:cs="仿宋"/>
          <w:color w:val="000000"/>
          <w:sz w:val="24"/>
          <w:highlight w:val="none"/>
        </w:rPr>
        <w:t xml:space="preserve">（以下简称甲方）                                               </w:t>
      </w:r>
    </w:p>
    <w:p w14:paraId="1C8E84F1">
      <w:pPr>
        <w:tabs>
          <w:tab w:val="left" w:pos="567"/>
        </w:tabs>
        <w:spacing w:line="5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供应商：</w:t>
      </w:r>
      <w:r>
        <w:rPr>
          <w:rFonts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（以下简称乙方）</w:t>
      </w:r>
      <w:r>
        <w:rPr>
          <w:rFonts w:ascii="仿宋" w:hAnsi="仿宋" w:eastAsia="仿宋" w:cs="仿宋"/>
          <w:color w:val="000000"/>
          <w:sz w:val="24"/>
          <w:highlight w:val="none"/>
        </w:rPr>
        <w:t xml:space="preserve">                                                                           </w:t>
      </w:r>
    </w:p>
    <w:p w14:paraId="067633DE">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依照《中华人民共和国民法典》及其它有关法律、行政法规，甲、乙双方遵循平等、自愿、公平、诚信和互利的原则，经充分协商</w:t>
      </w:r>
      <w:r>
        <w:rPr>
          <w:rFonts w:ascii="仿宋" w:hAnsi="仿宋" w:eastAsia="仿宋" w:cs="仿宋"/>
          <w:bCs/>
          <w:color w:val="000000"/>
          <w:sz w:val="24"/>
          <w:highlight w:val="none"/>
        </w:rPr>
        <w:t>,就甲方</w:t>
      </w:r>
      <w:r>
        <w:rPr>
          <w:rFonts w:hint="eastAsia" w:ascii="仿宋" w:hAnsi="仿宋" w:eastAsia="仿宋" w:cs="仿宋"/>
          <w:bCs/>
          <w:color w:val="000000"/>
          <w:sz w:val="24"/>
          <w:highlight w:val="none"/>
          <w:u w:val="single"/>
          <w:lang w:val="en-US" w:eastAsia="zh-CN"/>
        </w:rPr>
        <w:t xml:space="preserve">    XX项目    </w:t>
      </w:r>
      <w:r>
        <w:rPr>
          <w:rFonts w:hint="eastAsia" w:ascii="仿宋" w:hAnsi="仿宋" w:eastAsia="仿宋" w:cs="仿宋"/>
          <w:bCs/>
          <w:color w:val="000000"/>
          <w:sz w:val="24"/>
          <w:highlight w:val="none"/>
        </w:rPr>
        <w:t>所需</w:t>
      </w:r>
      <w:r>
        <w:rPr>
          <w:rFonts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lang w:val="en-US" w:eastAsia="zh-CN"/>
        </w:rPr>
        <w:t>材料</w:t>
      </w:r>
      <w:r>
        <w:rPr>
          <w:rFonts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的采购事宜，签订本合同，以资共同信守执行。</w:t>
      </w:r>
    </w:p>
    <w:p w14:paraId="0F569AC7">
      <w:pPr>
        <w:numPr>
          <w:ilvl w:val="0"/>
          <w:numId w:val="1"/>
        </w:numPr>
        <w:tabs>
          <w:tab w:val="left" w:pos="567"/>
        </w:tabs>
        <w:adjustRightInd w:val="0"/>
        <w:snapToGrid w:val="0"/>
        <w:spacing w:line="560" w:lineRule="exact"/>
        <w:ind w:firstLine="472" w:firstLineChars="196"/>
        <w:rPr>
          <w:rFonts w:ascii="仿宋" w:hAnsi="仿宋" w:eastAsia="仿宋" w:cs="仿宋"/>
          <w:b/>
          <w:color w:val="000000"/>
          <w:sz w:val="24"/>
          <w:highlight w:val="none"/>
        </w:rPr>
      </w:pPr>
      <w:r>
        <w:rPr>
          <w:rFonts w:hint="eastAsia" w:ascii="仿宋" w:hAnsi="仿宋" w:eastAsia="仿宋" w:cs="仿宋"/>
          <w:b/>
          <w:color w:val="000000"/>
          <w:sz w:val="24"/>
          <w:highlight w:val="none"/>
        </w:rPr>
        <w:t>货物及数量</w:t>
      </w:r>
    </w:p>
    <w:p w14:paraId="0B7EA297">
      <w:pPr>
        <w:numPr>
          <w:ilvl w:val="0"/>
          <w:numId w:val="2"/>
        </w:numPr>
        <w:tabs>
          <w:tab w:val="left" w:pos="567"/>
        </w:tabs>
        <w:adjustRightInd w:val="0"/>
        <w:snapToGrid w:val="0"/>
        <w:spacing w:line="560" w:lineRule="exact"/>
        <w:ind w:left="360" w:firstLine="480" w:firstLineChars="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货物的名称、数量、规格、生产厂家等详见下表。</w:t>
      </w:r>
    </w:p>
    <w:tbl>
      <w:tblPr>
        <w:tblStyle w:val="8"/>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870"/>
        <w:gridCol w:w="3108"/>
        <w:gridCol w:w="1090"/>
        <w:gridCol w:w="982"/>
        <w:gridCol w:w="1187"/>
        <w:gridCol w:w="1263"/>
        <w:gridCol w:w="561"/>
      </w:tblGrid>
      <w:tr w14:paraId="2A38D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jc w:val="center"/>
        </w:trPr>
        <w:tc>
          <w:tcPr>
            <w:tcW w:w="9701" w:type="dxa"/>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7620B2B3">
            <w:pPr>
              <w:keepNext w:val="0"/>
              <w:keepLines w:val="0"/>
              <w:widowControl/>
              <w:suppressLineNumbers w:val="0"/>
              <w:ind w:firstLineChars="100"/>
              <w:jc w:val="center"/>
              <w:textAlignment w:val="top"/>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报价清单表</w:t>
            </w:r>
          </w:p>
        </w:tc>
      </w:tr>
      <w:tr w14:paraId="58BF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40" w:type="dxa"/>
            <w:tcBorders>
              <w:top w:val="nil"/>
              <w:left w:val="single" w:color="000000" w:sz="8" w:space="0"/>
              <w:bottom w:val="single" w:color="000000" w:sz="8" w:space="0"/>
              <w:right w:val="single" w:color="000000" w:sz="8" w:space="0"/>
            </w:tcBorders>
            <w:shd w:val="clear" w:color="auto" w:fill="auto"/>
            <w:vAlign w:val="center"/>
          </w:tcPr>
          <w:p w14:paraId="31694E0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序号</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FC40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名称</w:t>
            </w:r>
          </w:p>
        </w:tc>
        <w:tc>
          <w:tcPr>
            <w:tcW w:w="31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BE702">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材质</w:t>
            </w:r>
            <w:r>
              <w:rPr>
                <w:rFonts w:hint="default" w:ascii="Times New Roman" w:hAnsi="Times New Roman" w:eastAsia="仿宋_GB2312" w:cs="Times New Roman"/>
                <w:i w:val="0"/>
                <w:iCs w:val="0"/>
                <w:color w:val="000000"/>
                <w:kern w:val="0"/>
                <w:sz w:val="21"/>
                <w:szCs w:val="21"/>
                <w:u w:val="none"/>
                <w:lang w:val="en-US" w:eastAsia="zh-CN" w:bidi="ar"/>
              </w:rPr>
              <w:t>/</w:t>
            </w:r>
            <w:r>
              <w:rPr>
                <w:rStyle w:val="10"/>
                <w:rFonts w:hAnsi="宋体"/>
                <w:lang w:val="en-US" w:eastAsia="zh-CN" w:bidi="ar"/>
              </w:rPr>
              <w:t>颜色</w:t>
            </w:r>
            <w:r>
              <w:rPr>
                <w:rFonts w:hint="default" w:ascii="Times New Roman" w:hAnsi="Times New Roman" w:eastAsia="仿宋_GB2312" w:cs="Times New Roman"/>
                <w:i w:val="0"/>
                <w:iCs w:val="0"/>
                <w:color w:val="000000"/>
                <w:kern w:val="0"/>
                <w:sz w:val="21"/>
                <w:szCs w:val="21"/>
                <w:u w:val="none"/>
                <w:lang w:val="en-US" w:eastAsia="zh-CN" w:bidi="ar"/>
              </w:rPr>
              <w:t>/</w:t>
            </w:r>
            <w:r>
              <w:rPr>
                <w:rStyle w:val="10"/>
                <w:rFonts w:hAnsi="宋体"/>
                <w:lang w:val="en-US" w:eastAsia="zh-CN" w:bidi="ar"/>
              </w:rPr>
              <w:t>规格型号</w:t>
            </w:r>
          </w:p>
        </w:tc>
        <w:tc>
          <w:tcPr>
            <w:tcW w:w="10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7DA7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w:t>
            </w:r>
          </w:p>
        </w:tc>
        <w:tc>
          <w:tcPr>
            <w:tcW w:w="9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3082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税率</w:t>
            </w:r>
          </w:p>
        </w:tc>
        <w:tc>
          <w:tcPr>
            <w:tcW w:w="11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F2D0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含税单价（元）</w:t>
            </w:r>
          </w:p>
        </w:tc>
        <w:tc>
          <w:tcPr>
            <w:tcW w:w="12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D8F3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含税总价</w:t>
            </w:r>
          </w:p>
          <w:p w14:paraId="7BF060D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（元）</w:t>
            </w:r>
          </w:p>
        </w:tc>
        <w:tc>
          <w:tcPr>
            <w:tcW w:w="5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D3428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备注</w:t>
            </w:r>
          </w:p>
        </w:tc>
      </w:tr>
      <w:tr w14:paraId="0728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9" w:hRule="atLeast"/>
          <w:jc w:val="center"/>
        </w:trPr>
        <w:tc>
          <w:tcPr>
            <w:tcW w:w="640" w:type="dxa"/>
            <w:tcBorders>
              <w:top w:val="nil"/>
              <w:left w:val="single" w:color="000000" w:sz="8" w:space="0"/>
              <w:bottom w:val="single" w:color="000000" w:sz="8" w:space="0"/>
              <w:right w:val="single" w:color="000000" w:sz="8" w:space="0"/>
            </w:tcBorders>
            <w:shd w:val="clear" w:color="auto" w:fill="auto"/>
            <w:vAlign w:val="center"/>
          </w:tcPr>
          <w:p w14:paraId="4B6D1A6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369CC1E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成品岗亭</w:t>
            </w:r>
          </w:p>
        </w:tc>
        <w:tc>
          <w:tcPr>
            <w:tcW w:w="3108" w:type="dxa"/>
            <w:tcBorders>
              <w:top w:val="nil"/>
              <w:left w:val="single" w:color="000000" w:sz="8" w:space="0"/>
              <w:bottom w:val="single" w:color="000000" w:sz="8" w:space="0"/>
              <w:right w:val="single" w:color="000000" w:sz="8" w:space="0"/>
            </w:tcBorders>
            <w:shd w:val="clear" w:color="auto" w:fill="auto"/>
            <w:vAlign w:val="top"/>
          </w:tcPr>
          <w:p w14:paraId="495220D2">
            <w:pPr>
              <w:keepNext w:val="0"/>
              <w:keepLines w:val="0"/>
              <w:pageBreakBefore w:val="0"/>
              <w:widowControl/>
              <w:suppressLineNumbers w:val="0"/>
              <w:kinsoku/>
              <w:wordWrap/>
              <w:overflowPunct/>
              <w:topLinePunct w:val="0"/>
              <w:autoSpaceDE/>
              <w:autoSpaceDN/>
              <w:bidi w:val="0"/>
              <w:adjustRightInd/>
              <w:snapToGrid/>
              <w:ind w:firstLineChars="0"/>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Style w:val="10"/>
                <w:rFonts w:hAnsi="Times New Roman"/>
                <w:lang w:val="en-US" w:eastAsia="zh-CN" w:bidi="ar"/>
              </w:rPr>
              <w:t>镀锌钢板包集成墙板，镀锌钢表面刷真石漆、单层钢化玻璃；</w:t>
            </w:r>
          </w:p>
          <w:p w14:paraId="7DEBA6BE">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10"/>
                <w:rFonts w:hAnsi="Times New Roman"/>
                <w:lang w:val="en-US" w:eastAsia="zh-CN" w:bidi="ar"/>
              </w:rPr>
              <w:t>尺寸：</w:t>
            </w:r>
            <w:r>
              <w:rPr>
                <w:rFonts w:hint="default" w:ascii="Times New Roman" w:hAnsi="Times New Roman" w:eastAsia="宋体" w:cs="Times New Roman"/>
                <w:i w:val="0"/>
                <w:iCs w:val="0"/>
                <w:color w:val="000000"/>
                <w:kern w:val="0"/>
                <w:sz w:val="21"/>
                <w:szCs w:val="21"/>
                <w:u w:val="none"/>
                <w:lang w:val="en-US" w:eastAsia="zh-CN" w:bidi="ar"/>
              </w:rPr>
              <w:t>2*2*2.8m</w:t>
            </w:r>
            <w:r>
              <w:rPr>
                <w:rStyle w:val="10"/>
                <w:rFonts w:hAnsi="Times New Roman"/>
                <w:lang w:val="en-US" w:eastAsia="zh-CN" w:bidi="ar"/>
              </w:rPr>
              <w:t>；</w:t>
            </w:r>
          </w:p>
          <w:p w14:paraId="33AB0880">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10"/>
                <w:rFonts w:hAnsi="Times New Roman"/>
                <w:lang w:val="en-US" w:eastAsia="zh-CN" w:bidi="ar"/>
              </w:rPr>
              <w:t>不含室内配套设施，不含玻璃防爆膜、防晒膜、室外灯具；</w:t>
            </w:r>
          </w:p>
        </w:tc>
        <w:tc>
          <w:tcPr>
            <w:tcW w:w="1090" w:type="dxa"/>
            <w:tcBorders>
              <w:top w:val="nil"/>
              <w:left w:val="single" w:color="000000" w:sz="8" w:space="0"/>
              <w:bottom w:val="single" w:color="000000" w:sz="8" w:space="0"/>
              <w:right w:val="single" w:color="000000" w:sz="8" w:space="0"/>
            </w:tcBorders>
            <w:shd w:val="clear" w:color="auto" w:fill="auto"/>
            <w:vAlign w:val="center"/>
          </w:tcPr>
          <w:p w14:paraId="564505B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82" w:type="dxa"/>
            <w:tcBorders>
              <w:top w:val="nil"/>
              <w:left w:val="single" w:color="000000" w:sz="8" w:space="0"/>
              <w:bottom w:val="single" w:color="000000" w:sz="8" w:space="0"/>
              <w:right w:val="single" w:color="000000" w:sz="8" w:space="0"/>
            </w:tcBorders>
            <w:shd w:val="clear" w:color="auto" w:fill="auto"/>
            <w:vAlign w:val="center"/>
          </w:tcPr>
          <w:p w14:paraId="0748AE4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1187" w:type="dxa"/>
            <w:tcBorders>
              <w:top w:val="nil"/>
              <w:left w:val="single" w:color="000000" w:sz="8" w:space="0"/>
              <w:bottom w:val="single" w:color="000000" w:sz="8" w:space="0"/>
              <w:right w:val="single" w:color="000000" w:sz="8" w:space="0"/>
            </w:tcBorders>
            <w:shd w:val="clear" w:color="auto" w:fill="auto"/>
            <w:vAlign w:val="center"/>
          </w:tcPr>
          <w:p w14:paraId="1893D968">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1263" w:type="dxa"/>
            <w:tcBorders>
              <w:top w:val="nil"/>
              <w:left w:val="single" w:color="000000" w:sz="8" w:space="0"/>
              <w:bottom w:val="single" w:color="000000" w:sz="8" w:space="0"/>
              <w:right w:val="single" w:color="000000" w:sz="8" w:space="0"/>
            </w:tcBorders>
            <w:shd w:val="clear" w:color="auto" w:fill="auto"/>
            <w:vAlign w:val="center"/>
          </w:tcPr>
          <w:p w14:paraId="1E8AC60D">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561" w:type="dxa"/>
            <w:tcBorders>
              <w:top w:val="nil"/>
              <w:left w:val="single" w:color="000000" w:sz="8" w:space="0"/>
              <w:bottom w:val="single" w:color="000000" w:sz="8" w:space="0"/>
              <w:right w:val="single" w:color="000000" w:sz="8" w:space="0"/>
            </w:tcBorders>
            <w:shd w:val="clear" w:color="auto" w:fill="auto"/>
            <w:vAlign w:val="center"/>
          </w:tcPr>
          <w:p w14:paraId="36B2443A">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r>
      <w:tr w14:paraId="0A1B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640" w:type="dxa"/>
            <w:tcBorders>
              <w:top w:val="nil"/>
              <w:left w:val="single" w:color="000000" w:sz="8" w:space="0"/>
              <w:bottom w:val="single" w:color="000000" w:sz="8" w:space="0"/>
              <w:right w:val="single" w:color="000000" w:sz="8" w:space="0"/>
            </w:tcBorders>
            <w:shd w:val="clear" w:color="auto" w:fill="auto"/>
            <w:vAlign w:val="center"/>
          </w:tcPr>
          <w:p w14:paraId="4E86A51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51EECAA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成品组合花箱</w:t>
            </w:r>
          </w:p>
        </w:tc>
        <w:tc>
          <w:tcPr>
            <w:tcW w:w="3108" w:type="dxa"/>
            <w:tcBorders>
              <w:top w:val="nil"/>
              <w:left w:val="single" w:color="000000" w:sz="8" w:space="0"/>
              <w:bottom w:val="single" w:color="000000" w:sz="8" w:space="0"/>
              <w:right w:val="single" w:color="000000" w:sz="8" w:space="0"/>
            </w:tcBorders>
            <w:shd w:val="clear" w:color="auto" w:fill="auto"/>
            <w:vAlign w:val="top"/>
          </w:tcPr>
          <w:p w14:paraId="3F8F28E1">
            <w:pPr>
              <w:keepNext w:val="0"/>
              <w:keepLines w:val="0"/>
              <w:pageBreakBefore w:val="0"/>
              <w:widowControl/>
              <w:suppressLineNumbers w:val="0"/>
              <w:kinsoku/>
              <w:wordWrap/>
              <w:overflowPunct/>
              <w:topLinePunct w:val="0"/>
              <w:autoSpaceDE/>
              <w:autoSpaceDN/>
              <w:bidi w:val="0"/>
              <w:adjustRightInd/>
              <w:snapToGrid/>
              <w:ind w:firstLineChars="0"/>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Style w:val="10"/>
                <w:rFonts w:hAnsi="Times New Roman"/>
                <w:lang w:val="en-US" w:eastAsia="zh-CN" w:bidi="ar"/>
              </w:rPr>
              <w:t>材质</w:t>
            </w:r>
            <w:r>
              <w:rPr>
                <w:rFonts w:hint="default" w:ascii="Times New Roman" w:hAnsi="Times New Roman" w:eastAsia="宋体" w:cs="Times New Roman"/>
                <w:i w:val="0"/>
                <w:iCs w:val="0"/>
                <w:color w:val="000000"/>
                <w:kern w:val="0"/>
                <w:sz w:val="21"/>
                <w:szCs w:val="21"/>
                <w:u w:val="none"/>
                <w:lang w:val="en-US" w:eastAsia="zh-CN" w:bidi="ar"/>
              </w:rPr>
              <w:t>:</w:t>
            </w:r>
            <w:r>
              <w:rPr>
                <w:rStyle w:val="10"/>
                <w:rFonts w:hAnsi="Times New Roman"/>
                <w:lang w:val="en-US" w:eastAsia="zh-CN" w:bidi="ar"/>
              </w:rPr>
              <w:t>不锈钢；</w:t>
            </w:r>
          </w:p>
          <w:p w14:paraId="1E6DC959">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10"/>
                <w:rFonts w:hAnsi="Times New Roman"/>
                <w:lang w:val="en-US" w:eastAsia="zh-CN" w:bidi="ar"/>
              </w:rPr>
              <w:t>尺寸</w:t>
            </w:r>
            <w:r>
              <w:rPr>
                <w:rFonts w:hint="default" w:ascii="Times New Roman" w:hAnsi="Times New Roman" w:eastAsia="宋体" w:cs="Times New Roman"/>
                <w:i w:val="0"/>
                <w:iCs w:val="0"/>
                <w:color w:val="000000"/>
                <w:kern w:val="0"/>
                <w:sz w:val="21"/>
                <w:szCs w:val="21"/>
                <w:u w:val="none"/>
                <w:lang w:val="en-US" w:eastAsia="zh-CN" w:bidi="ar"/>
              </w:rPr>
              <w:t>:</w:t>
            </w:r>
            <w:r>
              <w:rPr>
                <w:rStyle w:val="10"/>
                <w:rFonts w:hAnsi="Times New Roman"/>
                <w:lang w:val="en-US" w:eastAsia="zh-CN" w:bidi="ar"/>
              </w:rPr>
              <w:t>每组</w:t>
            </w:r>
            <w:r>
              <w:rPr>
                <w:rFonts w:hint="default" w:ascii="Times New Roman" w:hAnsi="Times New Roman" w:eastAsia="宋体" w:cs="Times New Roman"/>
                <w:i w:val="0"/>
                <w:iCs w:val="0"/>
                <w:color w:val="000000"/>
                <w:kern w:val="0"/>
                <w:sz w:val="21"/>
                <w:szCs w:val="21"/>
                <w:u w:val="none"/>
                <w:lang w:val="en-US" w:eastAsia="zh-CN" w:bidi="ar"/>
              </w:rPr>
              <w:t>1</w:t>
            </w:r>
            <w:r>
              <w:rPr>
                <w:rStyle w:val="10"/>
                <w:rFonts w:hAnsi="Times New Roman"/>
                <w:lang w:val="en-US" w:eastAsia="zh-CN" w:bidi="ar"/>
              </w:rPr>
              <w:t>个</w:t>
            </w:r>
            <w:r>
              <w:rPr>
                <w:rFonts w:hint="default" w:ascii="Times New Roman" w:hAnsi="Times New Roman" w:eastAsia="宋体" w:cs="Times New Roman"/>
                <w:i w:val="0"/>
                <w:iCs w:val="0"/>
                <w:color w:val="000000"/>
                <w:kern w:val="0"/>
                <w:sz w:val="21"/>
                <w:szCs w:val="21"/>
                <w:u w:val="none"/>
                <w:lang w:val="en-US" w:eastAsia="zh-CN" w:bidi="ar"/>
              </w:rPr>
              <w:t>,</w:t>
            </w:r>
            <w:r>
              <w:rPr>
                <w:rStyle w:val="10"/>
                <w:rFonts w:hAnsi="Times New Roman"/>
                <w:lang w:val="en-US" w:eastAsia="zh-CN" w:bidi="ar"/>
              </w:rPr>
              <w:t>长</w:t>
            </w:r>
            <w:r>
              <w:rPr>
                <w:rFonts w:hint="default" w:ascii="Times New Roman" w:hAnsi="Times New Roman" w:eastAsia="宋体" w:cs="Times New Roman"/>
                <w:i w:val="0"/>
                <w:iCs w:val="0"/>
                <w:color w:val="000000"/>
                <w:kern w:val="0"/>
                <w:sz w:val="21"/>
                <w:szCs w:val="21"/>
                <w:u w:val="none"/>
                <w:lang w:val="en-US" w:eastAsia="zh-CN" w:bidi="ar"/>
              </w:rPr>
              <w:t>1.14m</w:t>
            </w:r>
            <w:r>
              <w:rPr>
                <w:rStyle w:val="10"/>
                <w:rFonts w:hAnsi="Times New Roman"/>
                <w:lang w:val="en-US" w:eastAsia="zh-CN" w:bidi="ar"/>
              </w:rPr>
              <w:t>，宽</w:t>
            </w:r>
            <w:r>
              <w:rPr>
                <w:rFonts w:hint="default" w:ascii="Times New Roman" w:hAnsi="Times New Roman" w:eastAsia="宋体" w:cs="Times New Roman"/>
                <w:i w:val="0"/>
                <w:iCs w:val="0"/>
                <w:color w:val="000000"/>
                <w:kern w:val="0"/>
                <w:sz w:val="21"/>
                <w:szCs w:val="21"/>
                <w:u w:val="none"/>
                <w:lang w:val="en-US" w:eastAsia="zh-CN" w:bidi="ar"/>
              </w:rPr>
              <w:t>0.6m,</w:t>
            </w:r>
            <w:r>
              <w:rPr>
                <w:rStyle w:val="10"/>
                <w:rFonts w:hAnsi="Times New Roman"/>
                <w:lang w:val="en-US" w:eastAsia="zh-CN" w:bidi="ar"/>
              </w:rPr>
              <w:t xml:space="preserve">高 </w:t>
            </w:r>
            <w:r>
              <w:rPr>
                <w:rFonts w:hint="default" w:ascii="Times New Roman" w:hAnsi="Times New Roman" w:eastAsia="宋体" w:cs="Times New Roman"/>
                <w:i w:val="0"/>
                <w:iCs w:val="0"/>
                <w:color w:val="000000"/>
                <w:kern w:val="0"/>
                <w:sz w:val="21"/>
                <w:szCs w:val="21"/>
                <w:u w:val="none"/>
                <w:lang w:val="en-US" w:eastAsia="zh-CN" w:bidi="ar"/>
              </w:rPr>
              <w:t>0.9m</w:t>
            </w:r>
            <w:r>
              <w:rPr>
                <w:rStyle w:val="10"/>
                <w:rFonts w:hAnsi="Times New Roman"/>
                <w:lang w:val="en-US" w:eastAsia="zh-CN" w:bidi="ar"/>
              </w:rPr>
              <w:t>；</w:t>
            </w:r>
          </w:p>
          <w:p w14:paraId="4091EF9A">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10"/>
                <w:rFonts w:hAnsi="Times New Roman"/>
                <w:lang w:val="en-US" w:eastAsia="zh-CN" w:bidi="ar"/>
              </w:rPr>
              <w:t>颜色</w:t>
            </w:r>
            <w:r>
              <w:rPr>
                <w:rFonts w:hint="default" w:ascii="Times New Roman" w:hAnsi="Times New Roman" w:eastAsia="宋体" w:cs="Times New Roman"/>
                <w:i w:val="0"/>
                <w:iCs w:val="0"/>
                <w:color w:val="000000"/>
                <w:kern w:val="0"/>
                <w:sz w:val="21"/>
                <w:szCs w:val="21"/>
                <w:u w:val="none"/>
                <w:lang w:val="en-US" w:eastAsia="zh-CN" w:bidi="ar"/>
              </w:rPr>
              <w:t>:</w:t>
            </w:r>
            <w:r>
              <w:rPr>
                <w:rStyle w:val="10"/>
                <w:rFonts w:hAnsi="Times New Roman"/>
                <w:lang w:val="en-US" w:eastAsia="zh-CN" w:bidi="ar"/>
              </w:rPr>
              <w:t xml:space="preserve">深咖色，种植深度 </w:t>
            </w:r>
            <w:r>
              <w:rPr>
                <w:rFonts w:hint="default" w:ascii="Times New Roman" w:hAnsi="Times New Roman" w:eastAsia="宋体" w:cs="Times New Roman"/>
                <w:i w:val="0"/>
                <w:iCs w:val="0"/>
                <w:color w:val="000000"/>
                <w:kern w:val="0"/>
                <w:sz w:val="21"/>
                <w:szCs w:val="21"/>
                <w:u w:val="none"/>
                <w:lang w:val="en-US" w:eastAsia="zh-CN" w:bidi="ar"/>
              </w:rPr>
              <w:t>25-30</w:t>
            </w:r>
            <w:r>
              <w:rPr>
                <w:rStyle w:val="10"/>
                <w:rFonts w:hAnsi="Times New Roman"/>
                <w:lang w:val="en-US" w:eastAsia="zh-CN" w:bidi="ar"/>
              </w:rPr>
              <w:t>厘米左右；</w:t>
            </w:r>
          </w:p>
        </w:tc>
        <w:tc>
          <w:tcPr>
            <w:tcW w:w="1090" w:type="dxa"/>
            <w:tcBorders>
              <w:top w:val="nil"/>
              <w:left w:val="single" w:color="000000" w:sz="8" w:space="0"/>
              <w:bottom w:val="single" w:color="000000" w:sz="8" w:space="0"/>
              <w:right w:val="single" w:color="000000" w:sz="8" w:space="0"/>
            </w:tcBorders>
            <w:shd w:val="clear" w:color="auto" w:fill="auto"/>
            <w:vAlign w:val="center"/>
          </w:tcPr>
          <w:p w14:paraId="190CEC6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982" w:type="dxa"/>
            <w:tcBorders>
              <w:top w:val="nil"/>
              <w:left w:val="single" w:color="000000" w:sz="8" w:space="0"/>
              <w:bottom w:val="single" w:color="000000" w:sz="8" w:space="0"/>
              <w:right w:val="single" w:color="000000" w:sz="8" w:space="0"/>
            </w:tcBorders>
            <w:shd w:val="clear" w:color="auto" w:fill="auto"/>
            <w:vAlign w:val="center"/>
          </w:tcPr>
          <w:p w14:paraId="6790C1F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1187" w:type="dxa"/>
            <w:tcBorders>
              <w:top w:val="nil"/>
              <w:left w:val="single" w:color="000000" w:sz="8" w:space="0"/>
              <w:bottom w:val="single" w:color="000000" w:sz="8" w:space="0"/>
              <w:right w:val="single" w:color="000000" w:sz="8" w:space="0"/>
            </w:tcBorders>
            <w:shd w:val="clear" w:color="auto" w:fill="auto"/>
            <w:vAlign w:val="center"/>
          </w:tcPr>
          <w:p w14:paraId="480E2586">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1263" w:type="dxa"/>
            <w:tcBorders>
              <w:top w:val="nil"/>
              <w:left w:val="single" w:color="000000" w:sz="8" w:space="0"/>
              <w:bottom w:val="single" w:color="000000" w:sz="8" w:space="0"/>
              <w:right w:val="single" w:color="000000" w:sz="8" w:space="0"/>
            </w:tcBorders>
            <w:shd w:val="clear" w:color="auto" w:fill="auto"/>
            <w:vAlign w:val="center"/>
          </w:tcPr>
          <w:p w14:paraId="7DEA525C">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561" w:type="dxa"/>
            <w:tcBorders>
              <w:top w:val="nil"/>
              <w:left w:val="single" w:color="000000" w:sz="8" w:space="0"/>
              <w:bottom w:val="single" w:color="000000" w:sz="8" w:space="0"/>
              <w:right w:val="single" w:color="000000" w:sz="8" w:space="0"/>
            </w:tcBorders>
            <w:shd w:val="clear" w:color="auto" w:fill="auto"/>
            <w:vAlign w:val="center"/>
          </w:tcPr>
          <w:p w14:paraId="52736C01">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rPr>
            </w:pPr>
          </w:p>
        </w:tc>
      </w:tr>
      <w:tr w14:paraId="0197B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0" w:type="dxa"/>
            <w:tcBorders>
              <w:top w:val="nil"/>
              <w:left w:val="single" w:color="000000" w:sz="8" w:space="0"/>
              <w:bottom w:val="single" w:color="000000" w:sz="8" w:space="0"/>
              <w:right w:val="single" w:color="000000" w:sz="8" w:space="0"/>
            </w:tcBorders>
            <w:shd w:val="clear" w:color="auto" w:fill="auto"/>
            <w:vAlign w:val="center"/>
          </w:tcPr>
          <w:p w14:paraId="7668590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42DDEAC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成品室外太阳伞</w:t>
            </w:r>
          </w:p>
        </w:tc>
        <w:tc>
          <w:tcPr>
            <w:tcW w:w="3108" w:type="dxa"/>
            <w:tcBorders>
              <w:top w:val="nil"/>
              <w:left w:val="single" w:color="000000" w:sz="8" w:space="0"/>
              <w:bottom w:val="single" w:color="000000" w:sz="8" w:space="0"/>
              <w:right w:val="single" w:color="000000" w:sz="8" w:space="0"/>
            </w:tcBorders>
            <w:shd w:val="clear" w:color="auto" w:fill="auto"/>
            <w:vAlign w:val="top"/>
          </w:tcPr>
          <w:p w14:paraId="0781A4B2">
            <w:pPr>
              <w:keepNext w:val="0"/>
              <w:keepLines w:val="0"/>
              <w:pageBreakBefore w:val="0"/>
              <w:widowControl/>
              <w:suppressLineNumbers w:val="0"/>
              <w:kinsoku/>
              <w:wordWrap/>
              <w:overflowPunct/>
              <w:topLinePunct w:val="0"/>
              <w:autoSpaceDE/>
              <w:autoSpaceDN/>
              <w:bidi w:val="0"/>
              <w:adjustRightInd/>
              <w:snapToGrid/>
              <w:ind w:firstLineChars="0"/>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Style w:val="10"/>
                <w:rFonts w:hAnsi="Times New Roman"/>
                <w:lang w:val="en-US" w:eastAsia="zh-CN" w:bidi="ar"/>
              </w:rPr>
              <w:t>材质</w:t>
            </w:r>
            <w:r>
              <w:rPr>
                <w:rFonts w:hint="default" w:ascii="Times New Roman" w:hAnsi="Times New Roman" w:eastAsia="宋体" w:cs="Times New Roman"/>
                <w:i w:val="0"/>
                <w:iCs w:val="0"/>
                <w:color w:val="000000"/>
                <w:kern w:val="0"/>
                <w:sz w:val="21"/>
                <w:szCs w:val="21"/>
                <w:u w:val="none"/>
                <w:lang w:val="en-US" w:eastAsia="zh-CN" w:bidi="ar"/>
              </w:rPr>
              <w:t>:</w:t>
            </w:r>
            <w:r>
              <w:rPr>
                <w:rStyle w:val="10"/>
                <w:rFonts w:hAnsi="Times New Roman"/>
                <w:lang w:val="en-US" w:eastAsia="zh-CN" w:bidi="ar"/>
              </w:rPr>
              <w:t>金属；</w:t>
            </w:r>
          </w:p>
          <w:p w14:paraId="505B18CA">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10"/>
                <w:rFonts w:hAnsi="Times New Roman"/>
                <w:lang w:val="en-US" w:eastAsia="zh-CN" w:bidi="ar"/>
              </w:rPr>
              <w:t>尺寸</w:t>
            </w:r>
            <w:r>
              <w:rPr>
                <w:rFonts w:hint="default" w:ascii="Times New Roman" w:hAnsi="Times New Roman" w:eastAsia="宋体" w:cs="Times New Roman"/>
                <w:i w:val="0"/>
                <w:iCs w:val="0"/>
                <w:color w:val="000000"/>
                <w:kern w:val="0"/>
                <w:sz w:val="21"/>
                <w:szCs w:val="21"/>
                <w:u w:val="none"/>
                <w:lang w:val="en-US" w:eastAsia="zh-CN" w:bidi="ar"/>
              </w:rPr>
              <w:t>:</w:t>
            </w:r>
            <w:r>
              <w:rPr>
                <w:rStyle w:val="10"/>
                <w:rFonts w:hAnsi="Times New Roman"/>
                <w:lang w:val="en-US" w:eastAsia="zh-CN" w:bidi="ar"/>
              </w:rPr>
              <w:t>阳伞直径</w:t>
            </w:r>
            <w:r>
              <w:rPr>
                <w:rFonts w:hint="default" w:ascii="Times New Roman" w:hAnsi="Times New Roman" w:eastAsia="宋体" w:cs="Times New Roman"/>
                <w:i w:val="0"/>
                <w:iCs w:val="0"/>
                <w:color w:val="000000"/>
                <w:kern w:val="0"/>
                <w:sz w:val="21"/>
                <w:szCs w:val="21"/>
                <w:u w:val="none"/>
                <w:lang w:val="en-US" w:eastAsia="zh-CN" w:bidi="ar"/>
              </w:rPr>
              <w:t>3m</w:t>
            </w:r>
            <w:r>
              <w:rPr>
                <w:rStyle w:val="10"/>
                <w:rFonts w:hAnsi="Times New Roman"/>
                <w:lang w:val="en-US" w:eastAsia="zh-CN" w:bidi="ar"/>
              </w:rPr>
              <w:t>；</w:t>
            </w:r>
          </w:p>
          <w:p w14:paraId="22AE3A75">
            <w:pPr>
              <w:keepNext w:val="0"/>
              <w:keepLines w:val="0"/>
              <w:pageBreakBefore w:val="0"/>
              <w:widowControl/>
              <w:suppressLineNumbers w:val="0"/>
              <w:kinsoku/>
              <w:wordWrap/>
              <w:overflowPunct/>
              <w:topLinePunct w:val="0"/>
              <w:autoSpaceDE/>
              <w:autoSpaceDN/>
              <w:bidi w:val="0"/>
              <w:adjustRightInd/>
              <w:snapToGrid/>
              <w:ind w:firstLineChars="0"/>
              <w:jc w:val="both"/>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10"/>
                <w:rFonts w:hAnsi="Times New Roman"/>
                <w:lang w:val="en-US" w:eastAsia="zh-CN" w:bidi="ar"/>
              </w:rPr>
              <w:t>配一桌四椅，椅子为铝合金网布椅子，长</w:t>
            </w:r>
            <w:r>
              <w:rPr>
                <w:rFonts w:hint="default" w:ascii="Times New Roman" w:hAnsi="Times New Roman" w:eastAsia="宋体" w:cs="Times New Roman"/>
                <w:i w:val="0"/>
                <w:iCs w:val="0"/>
                <w:color w:val="000000"/>
                <w:kern w:val="0"/>
                <w:sz w:val="21"/>
                <w:szCs w:val="21"/>
                <w:u w:val="none"/>
                <w:lang w:val="en-US" w:eastAsia="zh-CN" w:bidi="ar"/>
              </w:rPr>
              <w:t>0.525m</w:t>
            </w:r>
            <w:r>
              <w:rPr>
                <w:rStyle w:val="10"/>
                <w:rFonts w:hAnsi="Times New Roman"/>
                <w:lang w:val="en-US" w:eastAsia="zh-CN" w:bidi="ar"/>
              </w:rPr>
              <w:t>，宽</w:t>
            </w:r>
            <w:r>
              <w:rPr>
                <w:rFonts w:hint="default" w:ascii="Times New Roman" w:hAnsi="Times New Roman" w:eastAsia="宋体" w:cs="Times New Roman"/>
                <w:i w:val="0"/>
                <w:iCs w:val="0"/>
                <w:color w:val="000000"/>
                <w:kern w:val="0"/>
                <w:sz w:val="21"/>
                <w:szCs w:val="21"/>
                <w:u w:val="none"/>
                <w:lang w:val="en-US" w:eastAsia="zh-CN" w:bidi="ar"/>
              </w:rPr>
              <w:t>0.59m</w:t>
            </w:r>
            <w:r>
              <w:rPr>
                <w:rStyle w:val="10"/>
                <w:rFonts w:hAnsi="Times New Roman"/>
                <w:lang w:val="en-US" w:eastAsia="zh-CN" w:bidi="ar"/>
              </w:rPr>
              <w:t>，高</w:t>
            </w:r>
            <w:r>
              <w:rPr>
                <w:rFonts w:hint="default" w:ascii="Times New Roman" w:hAnsi="Times New Roman" w:eastAsia="宋体" w:cs="Times New Roman"/>
                <w:i w:val="0"/>
                <w:iCs w:val="0"/>
                <w:color w:val="000000"/>
                <w:kern w:val="0"/>
                <w:sz w:val="21"/>
                <w:szCs w:val="21"/>
                <w:u w:val="none"/>
                <w:lang w:val="en-US" w:eastAsia="zh-CN" w:bidi="ar"/>
              </w:rPr>
              <w:t>85cm</w:t>
            </w:r>
            <w:r>
              <w:rPr>
                <w:rStyle w:val="10"/>
                <w:rFonts w:hAnsi="Times New Roman"/>
                <w:lang w:val="en-US" w:eastAsia="zh-CN" w:bidi="ar"/>
              </w:rPr>
              <w:t>；桌子为铝合金长方桌，长度</w:t>
            </w:r>
            <w:r>
              <w:rPr>
                <w:rFonts w:hint="default" w:ascii="Times New Roman" w:hAnsi="Times New Roman" w:eastAsia="宋体" w:cs="Times New Roman"/>
                <w:i w:val="0"/>
                <w:iCs w:val="0"/>
                <w:color w:val="000000"/>
                <w:kern w:val="0"/>
                <w:sz w:val="21"/>
                <w:szCs w:val="21"/>
                <w:u w:val="none"/>
                <w:lang w:val="en-US" w:eastAsia="zh-CN" w:bidi="ar"/>
              </w:rPr>
              <w:t>160cm</w:t>
            </w:r>
            <w:r>
              <w:rPr>
                <w:rStyle w:val="10"/>
                <w:rFonts w:hAnsi="Times New Roman"/>
                <w:lang w:val="en-US" w:eastAsia="zh-CN" w:bidi="ar"/>
              </w:rPr>
              <w:t>，宽度</w:t>
            </w:r>
            <w:r>
              <w:rPr>
                <w:rFonts w:hint="default" w:ascii="Times New Roman" w:hAnsi="Times New Roman" w:eastAsia="宋体" w:cs="Times New Roman"/>
                <w:i w:val="0"/>
                <w:iCs w:val="0"/>
                <w:color w:val="000000"/>
                <w:kern w:val="0"/>
                <w:sz w:val="21"/>
                <w:szCs w:val="21"/>
                <w:u w:val="none"/>
                <w:lang w:val="en-US" w:eastAsia="zh-CN" w:bidi="ar"/>
              </w:rPr>
              <w:t>90cm</w:t>
            </w:r>
            <w:r>
              <w:rPr>
                <w:rStyle w:val="10"/>
                <w:rFonts w:hAnsi="Times New Roman"/>
                <w:lang w:val="en-US" w:eastAsia="zh-CN" w:bidi="ar"/>
              </w:rPr>
              <w:t>；</w:t>
            </w:r>
          </w:p>
        </w:tc>
        <w:tc>
          <w:tcPr>
            <w:tcW w:w="1090" w:type="dxa"/>
            <w:tcBorders>
              <w:top w:val="nil"/>
              <w:left w:val="single" w:color="000000" w:sz="8" w:space="0"/>
              <w:bottom w:val="single" w:color="000000" w:sz="8" w:space="0"/>
              <w:right w:val="single" w:color="000000" w:sz="8" w:space="0"/>
            </w:tcBorders>
            <w:shd w:val="clear" w:color="auto" w:fill="auto"/>
            <w:vAlign w:val="center"/>
          </w:tcPr>
          <w:p w14:paraId="55FB228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82" w:type="dxa"/>
            <w:tcBorders>
              <w:top w:val="nil"/>
              <w:left w:val="single" w:color="000000" w:sz="8" w:space="0"/>
              <w:bottom w:val="single" w:color="000000" w:sz="8" w:space="0"/>
              <w:right w:val="single" w:color="000000" w:sz="8" w:space="0"/>
            </w:tcBorders>
            <w:shd w:val="clear" w:color="auto" w:fill="auto"/>
            <w:vAlign w:val="center"/>
          </w:tcPr>
          <w:p w14:paraId="437CD96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1187" w:type="dxa"/>
            <w:tcBorders>
              <w:top w:val="nil"/>
              <w:left w:val="single" w:color="000000" w:sz="8" w:space="0"/>
              <w:bottom w:val="single" w:color="000000" w:sz="8" w:space="0"/>
              <w:right w:val="single" w:color="000000" w:sz="8" w:space="0"/>
            </w:tcBorders>
            <w:shd w:val="clear" w:color="auto" w:fill="auto"/>
            <w:vAlign w:val="center"/>
          </w:tcPr>
          <w:p w14:paraId="7405CA72">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1263" w:type="dxa"/>
            <w:tcBorders>
              <w:top w:val="nil"/>
              <w:left w:val="single" w:color="000000" w:sz="8" w:space="0"/>
              <w:bottom w:val="single" w:color="000000" w:sz="8" w:space="0"/>
              <w:right w:val="single" w:color="000000" w:sz="8" w:space="0"/>
            </w:tcBorders>
            <w:shd w:val="clear" w:color="auto" w:fill="auto"/>
            <w:vAlign w:val="center"/>
          </w:tcPr>
          <w:p w14:paraId="65E70D65">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561" w:type="dxa"/>
            <w:tcBorders>
              <w:top w:val="nil"/>
              <w:left w:val="single" w:color="000000" w:sz="8" w:space="0"/>
              <w:bottom w:val="single" w:color="000000" w:sz="8" w:space="0"/>
              <w:right w:val="single" w:color="000000" w:sz="8" w:space="0"/>
            </w:tcBorders>
            <w:shd w:val="clear" w:color="auto" w:fill="auto"/>
            <w:vAlign w:val="center"/>
          </w:tcPr>
          <w:p w14:paraId="15E38BAC">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rPr>
            </w:pPr>
          </w:p>
        </w:tc>
      </w:tr>
      <w:tr w14:paraId="567F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7877" w:type="dxa"/>
            <w:gridSpan w:val="6"/>
            <w:tcBorders>
              <w:top w:val="nil"/>
              <w:left w:val="single" w:color="000000" w:sz="8" w:space="0"/>
              <w:bottom w:val="single" w:color="000000" w:sz="8" w:space="0"/>
              <w:right w:val="single" w:color="000000" w:sz="8" w:space="0"/>
            </w:tcBorders>
            <w:shd w:val="clear" w:color="auto" w:fill="auto"/>
            <w:vAlign w:val="center"/>
          </w:tcPr>
          <w:p w14:paraId="22F7DA3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合计：（元）</w:t>
            </w:r>
          </w:p>
        </w:tc>
        <w:tc>
          <w:tcPr>
            <w:tcW w:w="1263" w:type="dxa"/>
            <w:tcBorders>
              <w:top w:val="nil"/>
              <w:left w:val="single" w:color="000000" w:sz="8" w:space="0"/>
              <w:bottom w:val="single" w:color="000000" w:sz="8" w:space="0"/>
              <w:right w:val="single" w:color="000000" w:sz="8" w:space="0"/>
            </w:tcBorders>
            <w:shd w:val="clear" w:color="auto" w:fill="auto"/>
            <w:vAlign w:val="center"/>
          </w:tcPr>
          <w:p w14:paraId="663078ED">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561" w:type="dxa"/>
            <w:tcBorders>
              <w:top w:val="nil"/>
              <w:left w:val="single" w:color="000000" w:sz="8" w:space="0"/>
              <w:bottom w:val="single" w:color="000000" w:sz="8" w:space="0"/>
              <w:right w:val="single" w:color="000000" w:sz="8" w:space="0"/>
            </w:tcBorders>
            <w:shd w:val="clear" w:color="auto" w:fill="auto"/>
            <w:noWrap/>
            <w:vAlign w:val="center"/>
          </w:tcPr>
          <w:p w14:paraId="58BFA04F">
            <w:pPr>
              <w:keepNext w:val="0"/>
              <w:keepLines w:val="0"/>
              <w:pageBreakBefore w:val="0"/>
              <w:widowControl/>
              <w:kinsoku/>
              <w:wordWrap/>
              <w:overflowPunct/>
              <w:topLinePunct w:val="0"/>
              <w:autoSpaceDE/>
              <w:autoSpaceDN/>
              <w:bidi w:val="0"/>
              <w:adjustRightInd/>
              <w:snapToGrid/>
              <w:ind w:firstLineChars="0"/>
              <w:rPr>
                <w:rFonts w:hint="eastAsia" w:ascii="宋体" w:hAnsi="宋体" w:eastAsia="宋体" w:cs="宋体"/>
                <w:i w:val="0"/>
                <w:iCs w:val="0"/>
                <w:color w:val="000000"/>
                <w:sz w:val="22"/>
                <w:szCs w:val="22"/>
                <w:u w:val="none"/>
              </w:rPr>
            </w:pPr>
          </w:p>
        </w:tc>
      </w:tr>
    </w:tbl>
    <w:p w14:paraId="32688320">
      <w:pPr>
        <w:spacing w:line="240" w:lineRule="auto"/>
        <w:ind w:left="1260" w:hanging="1260" w:hangingChars="600"/>
        <w:jc w:val="left"/>
        <w:rPr>
          <w:rFonts w:hint="eastAsia" w:ascii="仿宋" w:hAnsi="仿宋" w:eastAsia="仿宋" w:cs="仿宋"/>
          <w:bCs/>
          <w:color w:val="000000"/>
          <w:sz w:val="21"/>
          <w:szCs w:val="24"/>
          <w:highlight w:val="none"/>
          <w:lang w:val="en-US" w:eastAsia="zh-CN"/>
        </w:rPr>
      </w:pPr>
      <w:r>
        <w:rPr>
          <w:rFonts w:hint="eastAsia" w:ascii="仿宋" w:hAnsi="仿宋" w:eastAsia="仿宋" w:cs="仿宋"/>
          <w:b w:val="0"/>
          <w:bCs/>
          <w:color w:val="000000"/>
          <w:highlight w:val="none"/>
        </w:rPr>
        <w:t>备注：</w:t>
      </w:r>
      <w:r>
        <w:rPr>
          <w:rFonts w:hint="eastAsia" w:ascii="仿宋" w:hAnsi="仿宋" w:eastAsia="仿宋" w:cs="仿宋"/>
          <w:bCs/>
          <w:color w:val="000000"/>
          <w:sz w:val="21"/>
          <w:szCs w:val="24"/>
          <w:highlight w:val="none"/>
          <w:lang w:val="en-US" w:eastAsia="zh-CN"/>
        </w:rPr>
        <w:t>（1）所有报价均用人民币表示，该单价为固定综合单价，包括但不限于运输费、上下车费、安装费、管理费、利润、税金等为完成本项目材料供应的所有费用。</w:t>
      </w:r>
    </w:p>
    <w:p w14:paraId="4D56A424">
      <w:pPr>
        <w:spacing w:beforeLines="-2147483648" w:line="240" w:lineRule="auto"/>
        <w:ind w:firstLine="630" w:firstLineChars="300"/>
        <w:jc w:val="left"/>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（2）</w:t>
      </w:r>
      <w:r>
        <w:rPr>
          <w:rFonts w:hint="eastAsia" w:ascii="仿宋" w:hAnsi="仿宋" w:eastAsia="仿宋" w:cs="仿宋"/>
          <w:bCs/>
          <w:color w:val="000000"/>
          <w:spacing w:val="0"/>
          <w:kern w:val="2"/>
          <w:sz w:val="21"/>
          <w:szCs w:val="24"/>
          <w:highlight w:val="none"/>
          <w:lang w:val="en-US" w:eastAsia="zh-CN" w:bidi="ar-SA"/>
        </w:rPr>
        <w:t>超过最高限价的报价无效</w:t>
      </w:r>
      <w:r>
        <w:rPr>
          <w:rFonts w:hint="eastAsia" w:ascii="仿宋" w:hAnsi="仿宋" w:eastAsia="仿宋" w:cs="仿宋"/>
          <w:bCs/>
          <w:color w:val="000000"/>
          <w:highlight w:val="none"/>
          <w:lang w:val="en-US" w:eastAsia="zh-CN"/>
        </w:rPr>
        <w:t>。</w:t>
      </w:r>
    </w:p>
    <w:p w14:paraId="0854EC2E">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2.</w:t>
      </w:r>
      <w:r>
        <w:rPr>
          <w:rFonts w:hint="eastAsia" w:ascii="仿宋" w:hAnsi="仿宋" w:eastAsia="仿宋" w:cs="仿宋"/>
          <w:bCs/>
          <w:color w:val="000000"/>
          <w:sz w:val="24"/>
          <w:highlight w:val="none"/>
        </w:rPr>
        <w:t>合同</w:t>
      </w:r>
      <w:r>
        <w:rPr>
          <w:rFonts w:hint="eastAsia" w:ascii="仿宋" w:hAnsi="仿宋" w:eastAsia="仿宋" w:cs="仿宋"/>
          <w:bCs/>
          <w:color w:val="000000"/>
          <w:sz w:val="24"/>
          <w:highlight w:val="none"/>
          <w:lang w:val="en-US" w:eastAsia="zh-CN"/>
        </w:rPr>
        <w:t>暂定</w:t>
      </w:r>
      <w:r>
        <w:rPr>
          <w:rFonts w:hint="eastAsia" w:ascii="仿宋" w:hAnsi="仿宋" w:eastAsia="仿宋" w:cs="仿宋"/>
          <w:bCs/>
          <w:color w:val="000000"/>
          <w:sz w:val="24"/>
          <w:highlight w:val="none"/>
        </w:rPr>
        <w:t xml:space="preserve">总金额（含增值税）为：￥：         </w:t>
      </w:r>
      <w:r>
        <w:rPr>
          <w:rFonts w:hint="eastAsia" w:ascii="仿宋" w:hAnsi="仿宋" w:eastAsia="仿宋" w:cs="仿宋"/>
          <w:bCs/>
          <w:color w:val="000000"/>
          <w:sz w:val="24"/>
          <w:highlight w:val="none"/>
          <w:lang w:val="en-US" w:eastAsia="zh-CN"/>
        </w:rPr>
        <w:t>(</w:t>
      </w:r>
      <w:r>
        <w:rPr>
          <w:rFonts w:hint="eastAsia" w:ascii="仿宋" w:hAnsi="仿宋" w:eastAsia="仿宋" w:cs="仿宋"/>
          <w:bCs/>
          <w:color w:val="000000"/>
          <w:sz w:val="24"/>
          <w:highlight w:val="none"/>
        </w:rPr>
        <w:t>大写：         整</w:t>
      </w:r>
      <w:r>
        <w:rPr>
          <w:rFonts w:hint="eastAsia" w:ascii="仿宋" w:hAnsi="仿宋" w:eastAsia="仿宋" w:cs="仿宋"/>
          <w:bCs/>
          <w:color w:val="000000"/>
          <w:sz w:val="24"/>
          <w:highlight w:val="none"/>
          <w:lang w:val="en-US" w:eastAsia="zh-CN"/>
        </w:rPr>
        <w:t>)。</w:t>
      </w:r>
      <w:r>
        <w:rPr>
          <w:rFonts w:hint="eastAsia" w:ascii="仿宋" w:hAnsi="仿宋" w:eastAsia="仿宋" w:cs="仿宋"/>
          <w:bCs/>
          <w:color w:val="000000"/>
          <w:sz w:val="24"/>
          <w:highlight w:val="none"/>
        </w:rPr>
        <w:t>其中，不含税</w:t>
      </w:r>
      <w:r>
        <w:rPr>
          <w:rFonts w:hint="eastAsia" w:ascii="仿宋" w:hAnsi="仿宋" w:eastAsia="仿宋" w:cs="仿宋"/>
          <w:bCs/>
          <w:color w:val="000000"/>
          <w:sz w:val="24"/>
          <w:highlight w:val="none"/>
          <w:lang w:val="en-US" w:eastAsia="zh-CN"/>
        </w:rPr>
        <w:t>金额</w:t>
      </w:r>
      <w:r>
        <w:rPr>
          <w:rFonts w:hint="eastAsia" w:ascii="仿宋" w:hAnsi="仿宋" w:eastAsia="仿宋" w:cs="仿宋"/>
          <w:bCs/>
          <w:color w:val="000000"/>
          <w:sz w:val="24"/>
          <w:highlight w:val="none"/>
        </w:rPr>
        <w:t>为：￥：        ，税</w:t>
      </w:r>
      <w:r>
        <w:rPr>
          <w:rFonts w:hint="eastAsia" w:ascii="仿宋" w:hAnsi="仿宋" w:eastAsia="仿宋" w:cs="仿宋"/>
          <w:bCs/>
          <w:color w:val="000000"/>
          <w:sz w:val="24"/>
          <w:highlight w:val="none"/>
          <w:lang w:val="en-US" w:eastAsia="zh-CN"/>
        </w:rPr>
        <w:t>费</w:t>
      </w:r>
      <w:r>
        <w:rPr>
          <w:rFonts w:hint="eastAsia" w:ascii="仿宋" w:hAnsi="仿宋" w:eastAsia="仿宋" w:cs="仿宋"/>
          <w:bCs/>
          <w:color w:val="000000"/>
          <w:sz w:val="24"/>
          <w:highlight w:val="none"/>
        </w:rPr>
        <w:t>为：￥：         。供货数量、时间和地点以甲方需求计划为准，以上数量为暂估量，结算数量为甲方实收合格数量，甲方有权对合同中的数量和交货时间做调整，乙方不得有异议，最终供货数量未达到暂估数量时，乙方不得以供货数量不足向甲方主张任何权利。</w:t>
      </w:r>
    </w:p>
    <w:p w14:paraId="79EE418F">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3、乙方负责运输（并卸货）至甲方指定地点，材料价格</w:t>
      </w:r>
      <w:r>
        <w:rPr>
          <w:rFonts w:hint="eastAsia" w:ascii="仿宋" w:hAnsi="仿宋" w:eastAsia="仿宋" w:cs="仿宋"/>
          <w:bCs/>
          <w:color w:val="000000"/>
          <w:sz w:val="24"/>
          <w:highlight w:val="none"/>
          <w:lang w:val="en-US" w:eastAsia="zh-CN"/>
        </w:rPr>
        <w:t>包括但不限于运输费、上下车费、安装费、管理费、利润、税金等为完成本项目材料供应的所有费用</w:t>
      </w:r>
      <w:r>
        <w:rPr>
          <w:rFonts w:hint="eastAsia" w:ascii="仿宋" w:hAnsi="仿宋" w:eastAsia="仿宋" w:cs="仿宋"/>
          <w:bCs/>
          <w:color w:val="000000"/>
          <w:sz w:val="24"/>
          <w:highlight w:val="none"/>
        </w:rPr>
        <w:t>。本合同为</w:t>
      </w:r>
      <w:r>
        <w:rPr>
          <w:rFonts w:hint="eastAsia" w:ascii="仿宋" w:hAnsi="仿宋" w:eastAsia="仿宋" w:cs="仿宋"/>
          <w:bCs/>
          <w:color w:val="000000"/>
          <w:sz w:val="24"/>
          <w:highlight w:val="none"/>
          <w:lang w:val="en-US" w:eastAsia="zh-CN"/>
        </w:rPr>
        <w:t>固定单</w:t>
      </w:r>
      <w:r>
        <w:rPr>
          <w:rFonts w:hint="eastAsia" w:ascii="仿宋" w:hAnsi="仿宋" w:eastAsia="仿宋" w:cs="仿宋"/>
          <w:bCs/>
          <w:color w:val="000000"/>
          <w:sz w:val="24"/>
          <w:highlight w:val="none"/>
        </w:rPr>
        <w:t>价，甲方有权调整合同中材料计划或材料数量，材料数量和规格的调整，不影响本合同单价及其他条款的执行。</w:t>
      </w:r>
    </w:p>
    <w:p w14:paraId="6CA5EB6A">
      <w:pPr>
        <w:tabs>
          <w:tab w:val="left" w:pos="567"/>
        </w:tabs>
        <w:adjustRightInd w:val="0"/>
        <w:snapToGrid w:val="0"/>
        <w:spacing w:line="560" w:lineRule="exact"/>
        <w:ind w:firstLine="472" w:firstLineChars="196"/>
        <w:rPr>
          <w:rFonts w:ascii="仿宋" w:hAnsi="仿宋" w:eastAsia="仿宋" w:cs="仿宋"/>
          <w:b/>
          <w:color w:val="000000"/>
          <w:sz w:val="24"/>
          <w:highlight w:val="none"/>
        </w:rPr>
      </w:pPr>
      <w:r>
        <w:rPr>
          <w:rFonts w:hint="eastAsia" w:ascii="仿宋" w:hAnsi="仿宋" w:eastAsia="仿宋" w:cs="仿宋"/>
          <w:b/>
          <w:color w:val="000000"/>
          <w:sz w:val="24"/>
          <w:highlight w:val="none"/>
        </w:rPr>
        <w:t xml:space="preserve">二、技术标准（包括质量要求） </w:t>
      </w:r>
    </w:p>
    <w:p w14:paraId="5B81E814">
      <w:pPr>
        <w:widowControl/>
        <w:spacing w:line="560" w:lineRule="exact"/>
        <w:ind w:firstLine="480" w:firstLineChars="200"/>
        <w:jc w:val="left"/>
        <w:rPr>
          <w:rFonts w:hint="eastAsia" w:ascii="仿宋" w:hAnsi="仿宋" w:eastAsia="仿宋" w:cs="仿宋"/>
          <w:b w:val="0"/>
          <w:bCs w:val="0"/>
          <w:color w:val="auto"/>
          <w:sz w:val="24"/>
          <w:szCs w:val="21"/>
          <w:highlight w:val="none"/>
          <w:lang w:val="en-US" w:eastAsia="zh-CN"/>
        </w:rPr>
      </w:pPr>
      <w:r>
        <w:rPr>
          <w:rFonts w:hint="eastAsia" w:ascii="仿宋" w:hAnsi="仿宋" w:eastAsia="仿宋" w:cs="仿宋"/>
          <w:b w:val="0"/>
          <w:bCs w:val="0"/>
          <w:color w:val="auto"/>
          <w:sz w:val="24"/>
          <w:szCs w:val="21"/>
          <w:highlight w:val="none"/>
          <w:lang w:val="en-US" w:eastAsia="zh-CN"/>
        </w:rPr>
        <w:t>（1）技术要求：供应商的产品须同时满足国家标准、行业标准及采购人技术要求；</w:t>
      </w:r>
    </w:p>
    <w:p w14:paraId="6D3F5504">
      <w:pPr>
        <w:widowControl/>
        <w:spacing w:line="560" w:lineRule="exact"/>
        <w:ind w:firstLine="480" w:firstLineChars="200"/>
        <w:jc w:val="left"/>
        <w:rPr>
          <w:rFonts w:hint="eastAsia" w:ascii="仿宋" w:hAnsi="仿宋" w:eastAsia="仿宋" w:cs="仿宋"/>
          <w:b w:val="0"/>
          <w:bCs w:val="0"/>
          <w:color w:val="auto"/>
          <w:sz w:val="24"/>
          <w:szCs w:val="21"/>
          <w:highlight w:val="none"/>
          <w:lang w:val="en-US" w:eastAsia="zh-CN"/>
        </w:rPr>
      </w:pPr>
      <w:r>
        <w:rPr>
          <w:rFonts w:hint="eastAsia" w:ascii="仿宋" w:hAnsi="仿宋" w:eastAsia="仿宋" w:cs="仿宋"/>
          <w:b w:val="0"/>
          <w:bCs w:val="0"/>
          <w:color w:val="auto"/>
          <w:sz w:val="24"/>
          <w:szCs w:val="21"/>
          <w:highlight w:val="none"/>
          <w:lang w:val="en-US" w:eastAsia="zh-CN"/>
        </w:rPr>
        <w:t xml:space="preserve">（2）材料的试验项目、试验方法按照国家、行业和地方的现行规定执行。 </w:t>
      </w:r>
    </w:p>
    <w:p w14:paraId="71C3C481">
      <w:pPr>
        <w:widowControl/>
        <w:spacing w:line="560" w:lineRule="exact"/>
        <w:ind w:firstLine="480" w:firstLineChars="200"/>
        <w:jc w:val="left"/>
        <w:rPr>
          <w:rFonts w:hint="eastAsia" w:ascii="仿宋" w:hAnsi="仿宋" w:eastAsia="仿宋" w:cs="仿宋"/>
          <w:b w:val="0"/>
          <w:bCs w:val="0"/>
          <w:color w:val="auto"/>
          <w:sz w:val="24"/>
          <w:szCs w:val="21"/>
          <w:highlight w:val="none"/>
          <w:lang w:val="en-US" w:eastAsia="zh-CN"/>
        </w:rPr>
      </w:pPr>
      <w:r>
        <w:rPr>
          <w:rFonts w:hint="eastAsia" w:ascii="仿宋" w:hAnsi="仿宋" w:eastAsia="仿宋" w:cs="仿宋"/>
          <w:b w:val="0"/>
          <w:bCs w:val="0"/>
          <w:color w:val="auto"/>
          <w:sz w:val="24"/>
          <w:szCs w:val="21"/>
          <w:highlight w:val="none"/>
          <w:lang w:val="en-US" w:eastAsia="zh-CN"/>
        </w:rPr>
        <w:t xml:space="preserve">（3）供应要求： </w:t>
      </w:r>
    </w:p>
    <w:p w14:paraId="3599CBB8">
      <w:pPr>
        <w:widowControl/>
        <w:spacing w:line="560" w:lineRule="exact"/>
        <w:ind w:firstLine="480" w:firstLineChars="200"/>
        <w:jc w:val="left"/>
        <w:rPr>
          <w:rFonts w:hint="eastAsia" w:ascii="仿宋" w:hAnsi="仿宋" w:eastAsia="仿宋" w:cs="仿宋"/>
          <w:b w:val="0"/>
          <w:bCs w:val="0"/>
          <w:color w:val="auto"/>
          <w:sz w:val="24"/>
          <w:szCs w:val="21"/>
          <w:highlight w:val="none"/>
          <w:lang w:val="en-US" w:eastAsia="zh-CN"/>
        </w:rPr>
      </w:pPr>
      <w:r>
        <w:rPr>
          <w:rFonts w:hint="eastAsia" w:ascii="仿宋" w:hAnsi="仿宋" w:eastAsia="仿宋" w:cs="仿宋"/>
          <w:b w:val="0"/>
          <w:bCs w:val="0"/>
          <w:color w:val="auto"/>
          <w:sz w:val="24"/>
          <w:szCs w:val="21"/>
          <w:highlight w:val="none"/>
          <w:lang w:val="en-US" w:eastAsia="zh-CN"/>
        </w:rPr>
        <w:t xml:space="preserve">①成交人每次供货都应随车提交该批次产品的名称、规格型号、数量、检测报告或产品合格证； </w:t>
      </w:r>
    </w:p>
    <w:p w14:paraId="7D7789D9">
      <w:pPr>
        <w:tabs>
          <w:tab w:val="left" w:pos="567"/>
        </w:tabs>
        <w:adjustRightInd w:val="0"/>
        <w:snapToGrid w:val="0"/>
        <w:spacing w:line="560" w:lineRule="exact"/>
        <w:ind w:firstLine="470" w:firstLineChars="196"/>
        <w:rPr>
          <w:rFonts w:hint="eastAsia" w:ascii="仿宋" w:hAnsi="仿宋" w:eastAsia="仿宋" w:cs="仿宋"/>
          <w:b w:val="0"/>
          <w:bCs w:val="0"/>
          <w:color w:val="auto"/>
          <w:sz w:val="24"/>
          <w:szCs w:val="21"/>
          <w:highlight w:val="none"/>
          <w:lang w:val="en-US" w:eastAsia="zh-CN"/>
        </w:rPr>
      </w:pPr>
      <w:r>
        <w:rPr>
          <w:rFonts w:hint="eastAsia" w:ascii="仿宋" w:hAnsi="仿宋" w:eastAsia="仿宋" w:cs="仿宋"/>
          <w:b w:val="0"/>
          <w:bCs w:val="0"/>
          <w:color w:val="auto"/>
          <w:sz w:val="24"/>
          <w:szCs w:val="21"/>
          <w:highlight w:val="none"/>
          <w:lang w:val="en-US" w:eastAsia="zh-CN"/>
        </w:rPr>
        <w:t>②现场清点和验收：成交人每次到场的货物，采购人只确认外观、数量、所提供的资料是否齐全；具体的各项技术指标按照双方签订的合同及技术标准(技术要求)执行。</w:t>
      </w:r>
    </w:p>
    <w:p w14:paraId="05FBB3AA">
      <w:pPr>
        <w:tabs>
          <w:tab w:val="left" w:pos="567"/>
        </w:tabs>
        <w:adjustRightInd w:val="0"/>
        <w:snapToGrid w:val="0"/>
        <w:spacing w:line="560" w:lineRule="exact"/>
        <w:ind w:firstLine="472" w:firstLineChars="196"/>
        <w:rPr>
          <w:rFonts w:ascii="仿宋" w:hAnsi="仿宋" w:eastAsia="仿宋" w:cs="仿宋"/>
          <w:b/>
          <w:color w:val="000000"/>
          <w:sz w:val="24"/>
          <w:highlight w:val="none"/>
        </w:rPr>
      </w:pPr>
      <w:r>
        <w:rPr>
          <w:rFonts w:hint="eastAsia" w:ascii="仿宋" w:hAnsi="仿宋" w:eastAsia="仿宋" w:cs="仿宋"/>
          <w:b/>
          <w:color w:val="000000"/>
          <w:sz w:val="24"/>
          <w:highlight w:val="none"/>
        </w:rPr>
        <w:t>三、质量保证期</w:t>
      </w:r>
    </w:p>
    <w:p w14:paraId="2BA626E0">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1</w:t>
      </w:r>
      <w:r>
        <w:rPr>
          <w:rFonts w:hint="eastAsia" w:ascii="仿宋" w:hAnsi="仿宋" w:eastAsia="仿宋" w:cs="仿宋"/>
          <w:bCs/>
          <w:color w:val="000000"/>
          <w:sz w:val="24"/>
          <w:highlight w:val="none"/>
        </w:rPr>
        <w:t>、甲方对产品的质量要求贯穿于施工前后的整个过程及工程完工后的保修期内。使用过程中才能发现质量缺陷的材料，在甲方提出质量异议后，乙方应立即予以无偿更换并赔偿因质量问题给甲方及工程造成的损失。乙方借故推脱或无理由拒绝甲方提出的维修、更换服务要求，甲方或工程业主可以自行解决，并对维修或更换服务以实际发生费用或市场价（以较高者为准）从甲方应支付给乙方的合同款项中扣除得到补偿。甲方根据合同规定对乙方行使的其他权利不受影响，并保留进一步索赔的权利。维修或更换后的货物的质量保证期相应延长。</w:t>
      </w:r>
    </w:p>
    <w:p w14:paraId="0B6DCFF0">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2</w:t>
      </w:r>
      <w:r>
        <w:rPr>
          <w:rFonts w:hint="eastAsia" w:ascii="仿宋" w:hAnsi="仿宋" w:eastAsia="仿宋" w:cs="仿宋"/>
          <w:bCs/>
          <w:color w:val="000000"/>
          <w:sz w:val="24"/>
          <w:highlight w:val="none"/>
        </w:rPr>
        <w:t>、质量保证期后乙方仍应承担售后服务。乙方必须在接到甲方或工程业主提出书面要求后2日内给予书面答复，并提供相应服务，以达到本工程项目业主满意。</w:t>
      </w:r>
    </w:p>
    <w:p w14:paraId="07825CF5">
      <w:pPr>
        <w:tabs>
          <w:tab w:val="left" w:pos="567"/>
        </w:tabs>
        <w:adjustRightInd w:val="0"/>
        <w:snapToGrid w:val="0"/>
        <w:spacing w:line="560" w:lineRule="exact"/>
        <w:ind w:firstLine="472" w:firstLineChars="196"/>
        <w:rPr>
          <w:rFonts w:ascii="仿宋" w:hAnsi="仿宋" w:eastAsia="仿宋" w:cs="仿宋"/>
          <w:b/>
          <w:color w:val="000000"/>
          <w:sz w:val="24"/>
          <w:highlight w:val="none"/>
        </w:rPr>
      </w:pPr>
      <w:r>
        <w:rPr>
          <w:rFonts w:hint="eastAsia" w:ascii="仿宋" w:hAnsi="仿宋" w:eastAsia="仿宋" w:cs="仿宋"/>
          <w:b/>
          <w:color w:val="000000"/>
          <w:sz w:val="24"/>
          <w:highlight w:val="none"/>
        </w:rPr>
        <w:t>四、交货方法、交货地点、交货期限</w:t>
      </w:r>
    </w:p>
    <w:p w14:paraId="50471191">
      <w:pPr>
        <w:tabs>
          <w:tab w:val="left" w:pos="567"/>
        </w:tabs>
        <w:adjustRightInd w:val="0"/>
        <w:snapToGrid w:val="0"/>
        <w:spacing w:line="560" w:lineRule="exact"/>
        <w:ind w:firstLine="480" w:firstLineChars="200"/>
        <w:rPr>
          <w:rFonts w:ascii="仿宋" w:hAnsi="仿宋" w:eastAsia="仿宋" w:cs="仿宋"/>
          <w:color w:val="000000"/>
          <w:sz w:val="24"/>
          <w:highlight w:val="none"/>
        </w:rPr>
      </w:pPr>
      <w:r>
        <w:rPr>
          <w:rFonts w:hint="eastAsia" w:ascii="仿宋" w:hAnsi="仿宋" w:eastAsia="仿宋" w:cs="仿宋"/>
          <w:bCs/>
          <w:color w:val="000000"/>
          <w:sz w:val="24"/>
          <w:highlight w:val="none"/>
        </w:rPr>
        <w:t>1、交货地点:</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lang w:val="en-US" w:eastAsia="zh-CN"/>
        </w:rPr>
        <w:t>项目所在地</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乙方必须保证按甲方的供货通知所要求的规格、数量、时间，供应甲方合同明细中要求的合格物资并运输和卸入指定地点，否则甲方可以在不需要征得乙方同意的条件下将乙方的保证金扣除，并有追索其他损失的权利。</w:t>
      </w:r>
    </w:p>
    <w:p w14:paraId="712BD96B">
      <w:pPr>
        <w:spacing w:line="560" w:lineRule="exact"/>
        <w:ind w:firstLine="484" w:firstLineChars="202"/>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rPr>
        <w:t>应随同每批物资发运附一份发货物资清单、出厂质量检验合格证书等必要文件。</w:t>
      </w:r>
    </w:p>
    <w:p w14:paraId="686E07AB">
      <w:pPr>
        <w:spacing w:line="560" w:lineRule="exact"/>
        <w:ind w:firstLine="484" w:firstLineChars="202"/>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3、物资运抵交货地点后，买卖双方及施工、监理单位应按</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rPr>
        <w:t>提供的发货物资清单对到货数量、外观、规格型号、合格证等进行核对。如发现包装破损，应作出记录并立即检查，确认是否对物资本身造成损伤。如确认对物资本身造成了损伤，</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rPr>
        <w:t>应及时更换被损伤的物资，或者免费进行必要的补救以达到物资出厂的标准。</w:t>
      </w:r>
    </w:p>
    <w:p w14:paraId="7E82AEFF">
      <w:pPr>
        <w:spacing w:line="560" w:lineRule="exact"/>
        <w:ind w:firstLine="484" w:firstLineChars="202"/>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4、物资经验收合格后，</w:t>
      </w:r>
      <w:r>
        <w:rPr>
          <w:rFonts w:hint="eastAsia" w:ascii="仿宋" w:hAnsi="仿宋" w:eastAsia="仿宋" w:cs="仿宋"/>
          <w:color w:val="000000"/>
          <w:sz w:val="24"/>
          <w:highlight w:val="none"/>
          <w:lang w:val="en-US" w:eastAsia="zh-CN"/>
        </w:rPr>
        <w:t>甲方</w:t>
      </w:r>
      <w:r>
        <w:rPr>
          <w:rFonts w:hint="eastAsia" w:ascii="仿宋" w:hAnsi="仿宋" w:eastAsia="仿宋" w:cs="仿宋"/>
          <w:color w:val="000000"/>
          <w:sz w:val="24"/>
          <w:highlight w:val="none"/>
        </w:rPr>
        <w:t>向</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rPr>
        <w:t>出具验收单据。此验收合格的单据不作为判定物资质量的依据。</w:t>
      </w:r>
    </w:p>
    <w:p w14:paraId="4E60B77D">
      <w:pPr>
        <w:spacing w:line="560" w:lineRule="exact"/>
        <w:ind w:firstLine="484" w:firstLineChars="202"/>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5、</w:t>
      </w:r>
      <w:r>
        <w:rPr>
          <w:rFonts w:hint="eastAsia" w:ascii="仿宋" w:hAnsi="仿宋" w:eastAsia="仿宋" w:cs="仿宋"/>
          <w:color w:val="000000"/>
          <w:sz w:val="24"/>
          <w:highlight w:val="none"/>
          <w:lang w:val="en-US" w:eastAsia="zh-CN"/>
        </w:rPr>
        <w:t>甲方</w:t>
      </w:r>
      <w:r>
        <w:rPr>
          <w:rFonts w:hint="eastAsia" w:ascii="仿宋" w:hAnsi="仿宋" w:eastAsia="仿宋" w:cs="仿宋"/>
          <w:color w:val="000000"/>
          <w:sz w:val="24"/>
          <w:highlight w:val="none"/>
        </w:rPr>
        <w:t>出具验收单据后，物资所有权转移给</w:t>
      </w:r>
      <w:r>
        <w:rPr>
          <w:rFonts w:hint="eastAsia" w:ascii="仿宋" w:hAnsi="仿宋" w:eastAsia="仿宋" w:cs="仿宋"/>
          <w:color w:val="000000"/>
          <w:sz w:val="24"/>
          <w:highlight w:val="none"/>
          <w:lang w:val="en-US" w:eastAsia="zh-CN"/>
        </w:rPr>
        <w:t>甲方</w:t>
      </w:r>
      <w:r>
        <w:rPr>
          <w:rFonts w:hint="eastAsia" w:ascii="仿宋" w:hAnsi="仿宋" w:eastAsia="仿宋" w:cs="仿宋"/>
          <w:color w:val="000000"/>
          <w:sz w:val="24"/>
          <w:highlight w:val="none"/>
        </w:rPr>
        <w:t>，但并不解除</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rPr>
        <w:t>对其物资应负的质量责任。</w:t>
      </w:r>
    </w:p>
    <w:p w14:paraId="1423D255">
      <w:pPr>
        <w:spacing w:line="560" w:lineRule="exact"/>
        <w:ind w:firstLine="484" w:firstLineChars="202"/>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6、</w:t>
      </w:r>
      <w:r>
        <w:rPr>
          <w:rFonts w:hint="eastAsia" w:ascii="仿宋" w:hAnsi="仿宋" w:eastAsia="仿宋" w:cs="仿宋"/>
          <w:color w:val="000000"/>
          <w:sz w:val="24"/>
          <w:highlight w:val="none"/>
          <w:lang w:val="en-US" w:eastAsia="zh-CN"/>
        </w:rPr>
        <w:t>甲方</w:t>
      </w:r>
      <w:r>
        <w:rPr>
          <w:rFonts w:hint="eastAsia" w:ascii="仿宋" w:hAnsi="仿宋" w:eastAsia="仿宋" w:cs="仿宋"/>
          <w:color w:val="000000"/>
          <w:sz w:val="24"/>
          <w:highlight w:val="none"/>
        </w:rPr>
        <w:t>有权对验收合格后的物资交有资质的检验部门</w:t>
      </w:r>
      <w:r>
        <w:rPr>
          <w:rFonts w:hint="eastAsia" w:ascii="仿宋" w:hAnsi="仿宋" w:eastAsia="仿宋" w:cs="仿宋"/>
          <w:color w:val="000000"/>
          <w:sz w:val="24"/>
          <w:highlight w:val="none"/>
          <w:lang w:val="en-US" w:eastAsia="zh-Hans"/>
        </w:rPr>
        <w:t>随机抽样</w:t>
      </w:r>
      <w:r>
        <w:rPr>
          <w:rFonts w:hint="eastAsia" w:ascii="仿宋" w:hAnsi="仿宋" w:eastAsia="仿宋" w:cs="仿宋"/>
          <w:color w:val="000000"/>
          <w:sz w:val="24"/>
          <w:highlight w:val="none"/>
        </w:rPr>
        <w:t>检验，</w:t>
      </w:r>
      <w:r>
        <w:rPr>
          <w:rFonts w:hint="eastAsia" w:ascii="仿宋" w:hAnsi="仿宋" w:eastAsia="仿宋" w:cs="仿宋"/>
          <w:color w:val="000000"/>
          <w:sz w:val="24"/>
          <w:highlight w:val="none"/>
          <w:lang w:val="en-US" w:eastAsia="zh-Hans"/>
        </w:rPr>
        <w:t>检验结果直接作为判定</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lang w:val="en-US" w:eastAsia="zh-Hans"/>
        </w:rPr>
        <w:t>交付货物质量是否符合约定即法律规定的依据</w:t>
      </w:r>
      <w:r>
        <w:rPr>
          <w:rFonts w:hint="default" w:ascii="仿宋" w:hAnsi="仿宋" w:eastAsia="仿宋" w:cs="仿宋"/>
          <w:color w:val="000000"/>
          <w:sz w:val="24"/>
          <w:highlight w:val="none"/>
          <w:lang w:eastAsia="zh-Hans"/>
        </w:rPr>
        <w:t>；</w:t>
      </w:r>
      <w:r>
        <w:rPr>
          <w:rFonts w:hint="eastAsia" w:ascii="仿宋" w:hAnsi="仿宋" w:eastAsia="仿宋" w:cs="仿宋"/>
          <w:color w:val="000000"/>
          <w:sz w:val="24"/>
          <w:highlight w:val="none"/>
        </w:rPr>
        <w:t>如果任何被检测或测试的物资不能满足技术规格的要求，</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rPr>
        <w:t>应及时更换，或者根据</w:t>
      </w:r>
      <w:r>
        <w:rPr>
          <w:rFonts w:hint="eastAsia" w:ascii="仿宋" w:hAnsi="仿宋" w:eastAsia="仿宋" w:cs="仿宋"/>
          <w:color w:val="000000"/>
          <w:sz w:val="24"/>
          <w:highlight w:val="none"/>
          <w:lang w:val="en-US" w:eastAsia="zh-CN"/>
        </w:rPr>
        <w:t>甲方</w:t>
      </w:r>
      <w:r>
        <w:rPr>
          <w:rFonts w:hint="eastAsia" w:ascii="仿宋" w:hAnsi="仿宋" w:eastAsia="仿宋" w:cs="仿宋"/>
          <w:color w:val="000000"/>
          <w:sz w:val="24"/>
          <w:highlight w:val="none"/>
        </w:rPr>
        <w:t>要求对缺陷免费进行修复以满足技术规格的要求，并承担该部分检验费用。</w:t>
      </w:r>
    </w:p>
    <w:p w14:paraId="53DCD852">
      <w:pPr>
        <w:adjustRightInd w:val="0"/>
        <w:snapToGrid w:val="0"/>
        <w:spacing w:line="560" w:lineRule="exact"/>
        <w:ind w:firstLine="484" w:firstLineChars="202"/>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7、</w:t>
      </w:r>
      <w:r>
        <w:rPr>
          <w:rFonts w:hint="eastAsia" w:ascii="仿宋" w:hAnsi="仿宋" w:eastAsia="仿宋" w:cs="仿宋"/>
          <w:color w:val="000000"/>
          <w:sz w:val="24"/>
          <w:highlight w:val="none"/>
          <w:lang w:val="en-US" w:eastAsia="zh-CN"/>
        </w:rPr>
        <w:t>甲方</w:t>
      </w:r>
      <w:r>
        <w:rPr>
          <w:rFonts w:hint="eastAsia" w:ascii="仿宋" w:hAnsi="仿宋" w:eastAsia="仿宋" w:cs="仿宋"/>
          <w:color w:val="000000"/>
          <w:sz w:val="24"/>
          <w:highlight w:val="none"/>
        </w:rPr>
        <w:t>在物资到达最终目的地后对物资进行检验、测试及必要时拒绝接受物资的权利应不会因为物资在从</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rPr>
        <w:t>制造厂启运前通过了</w:t>
      </w:r>
      <w:r>
        <w:rPr>
          <w:rFonts w:hint="eastAsia" w:ascii="仿宋" w:hAnsi="仿宋" w:eastAsia="仿宋" w:cs="仿宋"/>
          <w:color w:val="000000"/>
          <w:sz w:val="24"/>
          <w:highlight w:val="none"/>
          <w:lang w:val="en-US" w:eastAsia="zh-CN"/>
        </w:rPr>
        <w:t>甲方</w:t>
      </w:r>
      <w:r>
        <w:rPr>
          <w:rFonts w:hint="eastAsia" w:ascii="仿宋" w:hAnsi="仿宋" w:eastAsia="仿宋" w:cs="仿宋"/>
          <w:color w:val="000000"/>
          <w:sz w:val="24"/>
          <w:highlight w:val="none"/>
        </w:rPr>
        <w:t>或其代表的检验、测试和认可而受到限制或放弃。</w:t>
      </w:r>
    </w:p>
    <w:p w14:paraId="134FDE20">
      <w:pPr>
        <w:adjustRightInd w:val="0"/>
        <w:snapToGrid w:val="0"/>
        <w:spacing w:line="560" w:lineRule="exact"/>
        <w:ind w:firstLine="484" w:firstLineChars="202"/>
        <w:jc w:val="left"/>
        <w:rPr>
          <w:rFonts w:ascii="仿宋" w:hAnsi="仿宋" w:eastAsia="仿宋" w:cs="仿宋"/>
          <w:bCs/>
          <w:color w:val="000000"/>
          <w:sz w:val="24"/>
          <w:highlight w:val="none"/>
        </w:rPr>
      </w:pPr>
      <w:r>
        <w:rPr>
          <w:rFonts w:hint="eastAsia" w:ascii="仿宋" w:hAnsi="仿宋" w:eastAsia="仿宋" w:cs="仿宋"/>
          <w:color w:val="000000"/>
          <w:sz w:val="24"/>
          <w:highlight w:val="none"/>
        </w:rPr>
        <w:t xml:space="preserve">    </w:t>
      </w:r>
      <w:r>
        <w:rPr>
          <w:rFonts w:hint="eastAsia" w:ascii="仿宋" w:hAnsi="仿宋" w:eastAsia="仿宋" w:cs="仿宋"/>
          <w:bCs/>
          <w:color w:val="000000"/>
          <w:sz w:val="24"/>
          <w:highlight w:val="none"/>
        </w:rPr>
        <w:t>8、交货日期: 以甲方</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lang w:val="en-US" w:eastAsia="zh-CN"/>
        </w:rPr>
        <w:t>电话</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（电话/传真/书面）通知为准，以物资实际运送到合同指定地点并</w:t>
      </w:r>
      <w:r>
        <w:rPr>
          <w:rFonts w:hint="eastAsia" w:ascii="仿宋" w:hAnsi="仿宋" w:eastAsia="仿宋" w:cs="仿宋"/>
          <w:color w:val="000000"/>
          <w:sz w:val="24"/>
          <w:szCs w:val="28"/>
          <w:highlight w:val="none"/>
        </w:rPr>
        <w:t>由甲方指定人员签收</w:t>
      </w:r>
      <w:r>
        <w:rPr>
          <w:rFonts w:hint="eastAsia" w:ascii="仿宋" w:hAnsi="仿宋" w:eastAsia="仿宋" w:cs="仿宋"/>
          <w:bCs/>
          <w:color w:val="000000"/>
          <w:sz w:val="24"/>
          <w:highlight w:val="none"/>
        </w:rPr>
        <w:t>的日期为乙方的实际交货日期，并以此来确定是否构成逾期交货。</w:t>
      </w:r>
    </w:p>
    <w:p w14:paraId="14EFC6BA">
      <w:pPr>
        <w:tabs>
          <w:tab w:val="left" w:pos="567"/>
        </w:tabs>
        <w:adjustRightInd w:val="0"/>
        <w:snapToGrid w:val="0"/>
        <w:spacing w:line="560" w:lineRule="exact"/>
        <w:ind w:firstLine="540" w:firstLineChars="225"/>
        <w:rPr>
          <w:rFonts w:ascii="仿宋" w:hAnsi="仿宋" w:eastAsia="仿宋" w:cs="仿宋"/>
          <w:bCs/>
          <w:color w:val="000000"/>
          <w:sz w:val="24"/>
          <w:highlight w:val="none"/>
        </w:rPr>
      </w:pPr>
      <w:r>
        <w:rPr>
          <w:rFonts w:hint="eastAsia" w:ascii="仿宋" w:hAnsi="仿宋" w:eastAsia="仿宋" w:cs="仿宋"/>
          <w:bCs/>
          <w:color w:val="000000"/>
          <w:sz w:val="24"/>
          <w:highlight w:val="none"/>
        </w:rPr>
        <w:t>9、按甲方需用计划的要求，将本合同约定的材料保质、保量（乙方应具有应对施工高峰期和汛期的应急措施）、及时、齐备配套地供应到甲方指定地点。</w:t>
      </w:r>
    </w:p>
    <w:p w14:paraId="5AE15626">
      <w:pPr>
        <w:tabs>
          <w:tab w:val="left" w:pos="567"/>
        </w:tabs>
        <w:adjustRightInd w:val="0"/>
        <w:snapToGrid w:val="0"/>
        <w:spacing w:line="560" w:lineRule="exact"/>
        <w:ind w:firstLine="540" w:firstLineChars="225"/>
        <w:rPr>
          <w:rFonts w:ascii="仿宋" w:hAnsi="仿宋" w:eastAsia="仿宋" w:cs="仿宋"/>
          <w:bCs/>
          <w:color w:val="000000"/>
          <w:sz w:val="24"/>
          <w:highlight w:val="none"/>
        </w:rPr>
      </w:pPr>
      <w:r>
        <w:rPr>
          <w:rFonts w:hint="eastAsia" w:ascii="仿宋" w:hAnsi="仿宋" w:eastAsia="仿宋" w:cs="仿宋"/>
          <w:bCs/>
          <w:color w:val="000000"/>
          <w:sz w:val="24"/>
          <w:highlight w:val="none"/>
        </w:rPr>
        <w:t>10、乙方应全方位保证并满足甲方的材料需要，合同执行过程中乙方不得停止供货并将产品出售给其他购货单位。</w:t>
      </w:r>
    </w:p>
    <w:p w14:paraId="0B111257">
      <w:pPr>
        <w:tabs>
          <w:tab w:val="left" w:pos="567"/>
        </w:tabs>
        <w:adjustRightInd w:val="0"/>
        <w:snapToGrid w:val="0"/>
        <w:spacing w:line="560" w:lineRule="exact"/>
        <w:ind w:firstLine="480" w:firstLineChars="200"/>
        <w:rPr>
          <w:rFonts w:ascii="仿宋" w:hAnsi="仿宋" w:eastAsia="仿宋" w:cs="仿宋"/>
          <w:bCs/>
          <w:color w:val="000000"/>
          <w:sz w:val="24"/>
          <w:highlight w:val="none"/>
          <w:u w:val="single"/>
        </w:rPr>
      </w:pPr>
      <w:r>
        <w:rPr>
          <w:rFonts w:hint="eastAsia" w:ascii="仿宋" w:hAnsi="仿宋" w:eastAsia="仿宋" w:cs="仿宋"/>
          <w:color w:val="000000"/>
          <w:sz w:val="24"/>
          <w:highlight w:val="none"/>
        </w:rPr>
        <w:t>11、</w:t>
      </w:r>
      <w:r>
        <w:rPr>
          <w:rFonts w:hint="eastAsia" w:ascii="仿宋" w:hAnsi="仿宋" w:eastAsia="仿宋" w:cs="仿宋"/>
          <w:bCs/>
          <w:color w:val="000000"/>
          <w:sz w:val="24"/>
          <w:highlight w:val="none"/>
        </w:rPr>
        <w:t>乙方应以最适宜保护物资性能、质量的运输方式运送。对于物资运送到指定地点并经验收合格之前发生的一切损坏（包括外观、性能等方面）、数量损失等均由乙方自行承担。</w:t>
      </w:r>
    </w:p>
    <w:p w14:paraId="22638081">
      <w:pPr>
        <w:tabs>
          <w:tab w:val="left" w:pos="567"/>
          <w:tab w:val="left" w:pos="720"/>
          <w:tab w:val="left" w:pos="900"/>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color w:val="000000"/>
          <w:sz w:val="24"/>
          <w:highlight w:val="none"/>
        </w:rPr>
        <w:t>12、</w:t>
      </w:r>
      <w:r>
        <w:rPr>
          <w:rFonts w:hint="eastAsia" w:ascii="仿宋" w:hAnsi="仿宋" w:eastAsia="仿宋" w:cs="仿宋"/>
          <w:bCs/>
          <w:color w:val="000000"/>
          <w:sz w:val="24"/>
          <w:highlight w:val="none"/>
        </w:rPr>
        <w:t>乙方应遵守当地政府、建设单位、甲方有关现场的通道、保安、通行证的发放以及同类项目的一切法律及规定；并应遵守可能由当地政府颁发的有关物料运送现场的时限及通道的限制规定。同时，乙方不得以不清楚工地现场的情况为借口而要求延长交货期限。</w:t>
      </w:r>
    </w:p>
    <w:p w14:paraId="7A496034">
      <w:pPr>
        <w:tabs>
          <w:tab w:val="left" w:pos="567"/>
        </w:tabs>
        <w:adjustRightInd w:val="0"/>
        <w:snapToGrid w:val="0"/>
        <w:spacing w:line="560" w:lineRule="exact"/>
        <w:ind w:firstLine="480" w:firstLineChars="200"/>
        <w:rPr>
          <w:rFonts w:ascii="仿宋" w:hAnsi="仿宋" w:eastAsia="仿宋" w:cs="仿宋"/>
          <w:bCs/>
          <w:color w:val="000000"/>
          <w:sz w:val="24"/>
          <w:highlight w:val="none"/>
          <w:u w:val="single"/>
        </w:rPr>
      </w:pPr>
      <w:r>
        <w:rPr>
          <w:rFonts w:hint="eastAsia" w:ascii="仿宋" w:hAnsi="仿宋" w:eastAsia="仿宋" w:cs="仿宋"/>
          <w:color w:val="000000"/>
          <w:sz w:val="24"/>
          <w:highlight w:val="none"/>
        </w:rPr>
        <w:t>13、</w:t>
      </w:r>
      <w:r>
        <w:rPr>
          <w:rFonts w:hint="eastAsia" w:ascii="仿宋" w:hAnsi="仿宋" w:eastAsia="仿宋" w:cs="仿宋"/>
          <w:bCs/>
          <w:color w:val="000000"/>
          <w:sz w:val="24"/>
          <w:highlight w:val="none"/>
        </w:rPr>
        <w:t>乙方供应物资应根据工程进展情况需要使用前预计足够时间（必须符合甲方的要求）运抵现场，以确保甲方负责施工的工程竣工工期不会出现任何延误。</w:t>
      </w:r>
    </w:p>
    <w:p w14:paraId="4A1E5390">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14、乙方必须配合工程需用物资计划，物资计划会在工程进行中不断修订，乙方仍须在修订后的计划时间内，及时供应符合合同质量要求的物资。</w:t>
      </w:r>
    </w:p>
    <w:p w14:paraId="545B0510">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15、乙方不得将甲方所制定的物资需用计划的更改作为要求索赔的理由。</w:t>
      </w:r>
    </w:p>
    <w:p w14:paraId="219B4D5B">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16、乙方必须按甲方随时发出的通知要求的日期进行交货，若未按甲方规定时间交货，乙方将负责因此造成的损失,且甲方有权核减乙方供应量直至终止与乙方的合同。</w:t>
      </w:r>
    </w:p>
    <w:p w14:paraId="4ADF63D8">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17、乙方必须对自身出入甲方现场的人员进行安全交底，对因非甲方造成的安全事故承担全部责任。</w:t>
      </w:r>
    </w:p>
    <w:p w14:paraId="74FE15C4">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18、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14:paraId="2B371757">
      <w:pPr>
        <w:tabs>
          <w:tab w:val="left" w:pos="567"/>
        </w:tabs>
        <w:adjustRightInd w:val="0"/>
        <w:snapToGrid w:val="0"/>
        <w:spacing w:line="560" w:lineRule="exact"/>
        <w:ind w:firstLine="472" w:firstLineChars="196"/>
        <w:rPr>
          <w:rFonts w:ascii="仿宋" w:hAnsi="仿宋" w:eastAsia="仿宋" w:cs="仿宋"/>
          <w:b/>
          <w:color w:val="000000"/>
          <w:sz w:val="24"/>
          <w:highlight w:val="none"/>
        </w:rPr>
      </w:pPr>
      <w:r>
        <w:rPr>
          <w:rFonts w:hint="eastAsia" w:ascii="仿宋" w:hAnsi="仿宋" w:eastAsia="仿宋" w:cs="仿宋"/>
          <w:b/>
          <w:color w:val="000000"/>
          <w:sz w:val="24"/>
          <w:highlight w:val="none"/>
        </w:rPr>
        <w:t>五、货款的支付方式：</w:t>
      </w:r>
    </w:p>
    <w:p w14:paraId="1B5C4310">
      <w:pPr>
        <w:keepNext w:val="0"/>
        <w:keepLines w:val="0"/>
        <w:pageBreakBefore w:val="0"/>
        <w:widowControl/>
        <w:kinsoku/>
        <w:wordWrap/>
        <w:overflowPunct/>
        <w:topLinePunct w:val="0"/>
        <w:autoSpaceDE/>
        <w:autoSpaceDN/>
        <w:bidi w:val="0"/>
        <w:snapToGrid/>
        <w:spacing w:line="560" w:lineRule="exact"/>
        <w:ind w:firstLine="283" w:firstLineChars="118"/>
        <w:jc w:val="left"/>
        <w:textAlignment w:val="auto"/>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（1）项目竣工验收合格后支付至双方结算金额的100%，同时扣除应扣款项；</w:t>
      </w:r>
    </w:p>
    <w:p w14:paraId="4702B593">
      <w:pPr>
        <w:keepNext w:val="0"/>
        <w:keepLines w:val="0"/>
        <w:pageBreakBefore w:val="0"/>
        <w:widowControl/>
        <w:kinsoku/>
        <w:wordWrap/>
        <w:overflowPunct/>
        <w:topLinePunct w:val="0"/>
        <w:autoSpaceDE/>
        <w:autoSpaceDN/>
        <w:bidi w:val="0"/>
        <w:snapToGrid/>
        <w:spacing w:line="560" w:lineRule="exact"/>
        <w:ind w:firstLine="283" w:firstLineChars="118"/>
        <w:jc w:val="left"/>
        <w:textAlignment w:val="auto"/>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（2）甲方可采取银行转账、银承、保理、商票、应收账款电子凭证等方式向乙方支付工程款，且甲方不承担承兑汇票的贴现费用，由乙方自理；</w:t>
      </w:r>
    </w:p>
    <w:p w14:paraId="2F663BF9">
      <w:pPr>
        <w:keepNext w:val="0"/>
        <w:keepLines w:val="0"/>
        <w:pageBreakBefore w:val="0"/>
        <w:widowControl/>
        <w:kinsoku/>
        <w:wordWrap/>
        <w:overflowPunct/>
        <w:topLinePunct w:val="0"/>
        <w:autoSpaceDE/>
        <w:autoSpaceDN/>
        <w:bidi w:val="0"/>
        <w:snapToGrid/>
        <w:spacing w:line="560" w:lineRule="exact"/>
        <w:ind w:firstLine="283" w:firstLineChars="118"/>
        <w:jc w:val="left"/>
        <w:textAlignment w:val="auto"/>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（3）甲方支付款项前，乙方须先行向甲方提供等额、合法且有效的增值税专用发票及请款申请，否则，甲方有权拒绝付款且不承担延迟履行的法律责任。</w:t>
      </w:r>
    </w:p>
    <w:p w14:paraId="24101B2F">
      <w:pPr>
        <w:tabs>
          <w:tab w:val="left" w:pos="567"/>
        </w:tabs>
        <w:adjustRightInd w:val="0"/>
        <w:snapToGrid w:val="0"/>
        <w:spacing w:line="560" w:lineRule="exact"/>
        <w:ind w:firstLine="540" w:firstLineChars="225"/>
        <w:rPr>
          <w:rFonts w:hint="default" w:ascii="仿宋" w:hAnsi="仿宋" w:eastAsia="仿宋" w:cs="仿宋"/>
          <w:bCs/>
          <w:color w:val="000000"/>
          <w:sz w:val="24"/>
          <w:highlight w:val="none"/>
        </w:rPr>
      </w:pPr>
      <w:r>
        <w:rPr>
          <w:rFonts w:hint="eastAsia" w:ascii="仿宋" w:hAnsi="仿宋" w:eastAsia="仿宋" w:cs="仿宋"/>
          <w:bCs/>
          <w:color w:val="000000"/>
          <w:sz w:val="24"/>
          <w:highlight w:val="none"/>
        </w:rPr>
        <w:t>2、价格调整的约定：</w:t>
      </w:r>
      <w:r>
        <w:rPr>
          <w:rFonts w:hint="eastAsia" w:ascii="仿宋" w:hAnsi="仿宋" w:eastAsia="仿宋" w:cs="仿宋"/>
          <w:bCs/>
          <w:color w:val="000000"/>
          <w:sz w:val="24"/>
          <w:highlight w:val="none"/>
          <w:lang w:val="en-US" w:eastAsia="zh-CN"/>
        </w:rPr>
        <w:t>不可调整</w:t>
      </w:r>
      <w:r>
        <w:rPr>
          <w:rFonts w:hint="eastAsia" w:ascii="仿宋" w:hAnsi="仿宋" w:eastAsia="仿宋" w:cs="仿宋"/>
          <w:bCs/>
          <w:color w:val="000000"/>
          <w:sz w:val="24"/>
          <w:szCs w:val="24"/>
          <w:highlight w:val="none"/>
          <w:u w:val="none"/>
          <w:lang w:val="en-US" w:eastAsia="zh-CN"/>
        </w:rPr>
        <w:t>；</w:t>
      </w:r>
    </w:p>
    <w:p w14:paraId="4B9262DF">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ascii="仿宋" w:hAnsi="仿宋" w:eastAsia="仿宋" w:cs="仿宋"/>
          <w:bCs/>
          <w:color w:val="000000"/>
          <w:sz w:val="24"/>
          <w:highlight w:val="none"/>
        </w:rPr>
        <w:t>3、发票</w:t>
      </w:r>
    </w:p>
    <w:p w14:paraId="69AE5500">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3.1乙方属于以下第</w:t>
      </w:r>
      <w:r>
        <w:rPr>
          <w:rFonts w:hint="eastAsia" w:ascii="仿宋" w:hAnsi="仿宋" w:eastAsia="仿宋" w:cs="仿宋"/>
          <w:bCs/>
          <w:color w:val="000000"/>
          <w:sz w:val="24"/>
          <w:highlight w:val="none"/>
          <w:u w:val="single"/>
        </w:rPr>
        <w:t xml:space="preserve">  </w:t>
      </w:r>
      <w:r>
        <w:rPr>
          <w:rFonts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种纳税人：</w:t>
      </w:r>
    </w:p>
    <w:p w14:paraId="172D8DBB">
      <w:pPr>
        <w:tabs>
          <w:tab w:val="left" w:pos="567"/>
        </w:tabs>
        <w:adjustRightInd w:val="0"/>
        <w:snapToGrid w:val="0"/>
        <w:spacing w:line="560" w:lineRule="exact"/>
        <w:ind w:firstLine="840" w:firstLineChars="35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（1）一般纳税人    （2）小规模纳税人   </w:t>
      </w:r>
    </w:p>
    <w:p w14:paraId="611FAC31">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3.2乙方提供以下第</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lang w:eastAsia="zh-CN"/>
        </w:rPr>
        <w:t>（</w:t>
      </w:r>
      <w:r>
        <w:rPr>
          <w:rFonts w:hint="eastAsia" w:ascii="仿宋" w:hAnsi="仿宋" w:eastAsia="仿宋" w:cs="仿宋"/>
          <w:bCs/>
          <w:color w:val="000000"/>
          <w:sz w:val="24"/>
          <w:highlight w:val="none"/>
          <w:u w:val="single"/>
          <w:lang w:val="en-US" w:eastAsia="zh-CN"/>
        </w:rPr>
        <w:t>1</w:t>
      </w:r>
      <w:r>
        <w:rPr>
          <w:rFonts w:hint="eastAsia" w:ascii="仿宋" w:hAnsi="仿宋" w:eastAsia="仿宋" w:cs="仿宋"/>
          <w:bCs/>
          <w:color w:val="000000"/>
          <w:sz w:val="24"/>
          <w:highlight w:val="none"/>
          <w:u w:val="single"/>
          <w:lang w:eastAsia="zh-CN"/>
        </w:rPr>
        <w:t>）</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种发票。</w:t>
      </w:r>
    </w:p>
    <w:p w14:paraId="7FDE744E">
      <w:pPr>
        <w:tabs>
          <w:tab w:val="left" w:pos="567"/>
        </w:tabs>
        <w:adjustRightInd w:val="0"/>
        <w:snapToGrid w:val="0"/>
        <w:spacing w:line="560" w:lineRule="exact"/>
        <w:ind w:firstLine="840" w:firstLineChars="350"/>
        <w:rPr>
          <w:rFonts w:ascii="仿宋" w:hAnsi="仿宋" w:eastAsia="仿宋" w:cs="仿宋"/>
          <w:bCs/>
          <w:color w:val="000000"/>
          <w:sz w:val="24"/>
          <w:highlight w:val="none"/>
        </w:rPr>
      </w:pPr>
      <w:r>
        <w:rPr>
          <w:rFonts w:hint="eastAsia" w:ascii="仿宋" w:hAnsi="仿宋" w:eastAsia="仿宋" w:cs="仿宋"/>
          <w:bCs/>
          <w:color w:val="000000"/>
          <w:sz w:val="24"/>
          <w:highlight w:val="none"/>
        </w:rPr>
        <w:t>（1）提供税率为</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lang w:val="en-US" w:eastAsia="zh-CN"/>
        </w:rPr>
        <w:t xml:space="preserve">13 </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%的增值税专用发票；</w:t>
      </w:r>
    </w:p>
    <w:p w14:paraId="4ED8383C">
      <w:pPr>
        <w:tabs>
          <w:tab w:val="left" w:pos="567"/>
        </w:tabs>
        <w:adjustRightInd w:val="0"/>
        <w:snapToGrid w:val="0"/>
        <w:spacing w:line="560" w:lineRule="exact"/>
        <w:ind w:firstLine="840" w:firstLineChars="350"/>
        <w:rPr>
          <w:rFonts w:ascii="仿宋" w:hAnsi="仿宋" w:eastAsia="仿宋" w:cs="仿宋"/>
          <w:bCs/>
          <w:color w:val="000000"/>
          <w:sz w:val="24"/>
          <w:highlight w:val="none"/>
        </w:rPr>
      </w:pPr>
      <w:r>
        <w:rPr>
          <w:rFonts w:hint="eastAsia" w:ascii="仿宋" w:hAnsi="仿宋" w:eastAsia="仿宋" w:cs="仿宋"/>
          <w:bCs/>
          <w:color w:val="000000"/>
          <w:sz w:val="24"/>
          <w:highlight w:val="none"/>
        </w:rPr>
        <w:t>（2）提供税率为</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lang w:val="en-US" w:eastAsia="zh-CN"/>
        </w:rPr>
        <w:t>3</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%的增值税普通发票。</w:t>
      </w:r>
    </w:p>
    <w:p w14:paraId="0C4851CD">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3.3乙方在向甲方申请付款前，应提供与甲方确认付款金额等额的合法、有效、完整、准确的增值税发票。若乙方提供的发票不符合要求的，甲方有权拒收增值税发票，并有权暂停支付相应款项，乙方不得以此为由中止履行合同的义务。如因乙方不能按期提供发票或提供的发票不符合要求而导致付款延期的，由其自行承担后果，甲方不承担任何责任。</w:t>
      </w:r>
    </w:p>
    <w:p w14:paraId="22B51774">
      <w:pPr>
        <w:tabs>
          <w:tab w:val="left" w:pos="567"/>
        </w:tabs>
        <w:adjustRightInd w:val="0"/>
        <w:snapToGrid w:val="0"/>
        <w:spacing w:line="560" w:lineRule="exact"/>
        <w:ind w:firstLine="360" w:firstLineChars="150"/>
        <w:rPr>
          <w:rFonts w:ascii="仿宋" w:hAnsi="仿宋" w:eastAsia="仿宋" w:cs="仿宋"/>
          <w:bCs/>
          <w:color w:val="000000"/>
          <w:sz w:val="24"/>
          <w:highlight w:val="none"/>
        </w:rPr>
      </w:pPr>
      <w:r>
        <w:rPr>
          <w:rFonts w:hint="eastAsia" w:ascii="仿宋" w:hAnsi="仿宋" w:eastAsia="仿宋" w:cs="仿宋"/>
          <w:bCs/>
          <w:color w:val="000000"/>
          <w:sz w:val="24"/>
          <w:highlight w:val="none"/>
        </w:rPr>
        <w:t>3.4 若乙方未按上述约定向甲方开具足额增值税发票或因乙方原因导致提供的增值税发票甲方不能认证、抵扣的，乙方应按甲方要求采取补救措施，同时，甲方有权要求乙方支付本合同暂定总价的0.5%的违约金并承担甲方未能抵扣而产生的全部税费。</w:t>
      </w:r>
    </w:p>
    <w:p w14:paraId="4B9A3381">
      <w:pPr>
        <w:tabs>
          <w:tab w:val="left" w:pos="567"/>
        </w:tabs>
        <w:adjustRightInd w:val="0"/>
        <w:snapToGrid w:val="0"/>
        <w:spacing w:line="560" w:lineRule="exact"/>
        <w:ind w:firstLine="360" w:firstLineChars="150"/>
        <w:rPr>
          <w:rFonts w:ascii="仿宋" w:hAnsi="仿宋" w:eastAsia="仿宋" w:cs="仿宋"/>
          <w:bCs/>
          <w:color w:val="000000"/>
          <w:sz w:val="24"/>
          <w:highlight w:val="none"/>
        </w:rPr>
      </w:pPr>
      <w:r>
        <w:rPr>
          <w:rFonts w:hint="eastAsia" w:ascii="仿宋" w:hAnsi="仿宋" w:eastAsia="仿宋" w:cs="仿宋"/>
          <w:bCs/>
          <w:color w:val="000000"/>
          <w:sz w:val="24"/>
          <w:highlight w:val="none"/>
        </w:rPr>
        <w:t>3.5如果甲方丢失增值税专用发票发票联和抵扣联，则乙方必须向甲方提供专用发票记账联复印件和乙方主管税务机关出具的《丢失增值税专用发票已报税证明单》。</w:t>
      </w:r>
    </w:p>
    <w:p w14:paraId="590211BC">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3.6若乙方纳税人身份与合同约定不符或者计税方式发生变化，并导致甲方可抵扣的进项税额减少或被税务机关要求补缴税款的，则减少的进项税额或补缴的税款应由乙方承担，甲方有权从乙方工程款中扣除。</w:t>
      </w:r>
    </w:p>
    <w:p w14:paraId="6F2106F0">
      <w:pPr>
        <w:tabs>
          <w:tab w:val="left" w:pos="567"/>
        </w:tabs>
        <w:adjustRightInd w:val="0"/>
        <w:snapToGrid w:val="0"/>
        <w:spacing w:line="560" w:lineRule="exact"/>
        <w:ind w:firstLine="360" w:firstLineChars="150"/>
        <w:rPr>
          <w:rFonts w:ascii="仿宋" w:hAnsi="仿宋" w:eastAsia="仿宋" w:cs="仿宋"/>
          <w:bCs/>
          <w:color w:val="000000"/>
          <w:sz w:val="24"/>
          <w:highlight w:val="none"/>
        </w:rPr>
      </w:pPr>
      <w:r>
        <w:rPr>
          <w:rFonts w:hint="eastAsia" w:ascii="仿宋" w:hAnsi="仿宋" w:eastAsia="仿宋" w:cs="仿宋"/>
          <w:bCs/>
          <w:color w:val="000000"/>
          <w:sz w:val="24"/>
          <w:highlight w:val="none"/>
        </w:rPr>
        <w:t>3.7若甲方从合同价款中扣除了违约金、损失赔偿额等款项的，乙方仍应按扣除前的合同金额开具增值税发票。</w:t>
      </w:r>
    </w:p>
    <w:p w14:paraId="74F7BE69">
      <w:pPr>
        <w:tabs>
          <w:tab w:val="left" w:pos="567"/>
        </w:tabs>
        <w:adjustRightInd w:val="0"/>
        <w:snapToGrid w:val="0"/>
        <w:spacing w:line="560" w:lineRule="exact"/>
        <w:ind w:firstLine="360" w:firstLineChars="150"/>
        <w:rPr>
          <w:rFonts w:ascii="仿宋" w:hAnsi="仿宋" w:eastAsia="仿宋" w:cs="仿宋"/>
          <w:bCs/>
          <w:color w:val="000000"/>
          <w:sz w:val="24"/>
          <w:highlight w:val="none"/>
        </w:rPr>
      </w:pPr>
      <w:r>
        <w:rPr>
          <w:rFonts w:hint="eastAsia" w:ascii="仿宋" w:hAnsi="仿宋" w:eastAsia="仿宋" w:cs="仿宋"/>
          <w:bCs/>
          <w:color w:val="000000"/>
          <w:sz w:val="24"/>
          <w:highlight w:val="none"/>
        </w:rPr>
        <w:t>3.8增值税发票开票信息</w:t>
      </w:r>
    </w:p>
    <w:p w14:paraId="0C70E606">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w:t>
      </w:r>
      <w:r>
        <w:rPr>
          <w:rFonts w:hint="eastAsia" w:ascii="仿宋" w:hAnsi="仿宋" w:eastAsia="仿宋" w:cs="仿宋"/>
          <w:bCs/>
          <w:color w:val="000000"/>
          <w:sz w:val="24"/>
          <w:highlight w:val="none"/>
          <w:lang w:val="en-US" w:eastAsia="zh-CN"/>
        </w:rPr>
        <w:t>甲方</w:t>
      </w:r>
      <w:r>
        <w:rPr>
          <w:rFonts w:hint="eastAsia" w:ascii="仿宋" w:hAnsi="仿宋" w:eastAsia="仿宋" w:cs="仿宋"/>
          <w:bCs/>
          <w:color w:val="000000"/>
          <w:sz w:val="24"/>
          <w:highlight w:val="none"/>
        </w:rPr>
        <w:t>增值税发票开票信息</w:t>
      </w:r>
    </w:p>
    <w:p w14:paraId="748D4585">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企业名称：  ；                   </w:t>
      </w:r>
    </w:p>
    <w:p w14:paraId="44776EB7">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纳税人识别号： ；                       </w:t>
      </w:r>
    </w:p>
    <w:p w14:paraId="5BF77BDB">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银行账户： ；                                 </w:t>
      </w:r>
    </w:p>
    <w:p w14:paraId="35F95D80">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开户银行： ；      </w:t>
      </w:r>
    </w:p>
    <w:p w14:paraId="2654EEE2">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地址： ；                            </w:t>
      </w:r>
    </w:p>
    <w:p w14:paraId="139B0FB1">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电话： ；                       </w:t>
      </w:r>
    </w:p>
    <w:p w14:paraId="5ECC872D">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2）乙方增值税发票开票信息</w:t>
      </w:r>
    </w:p>
    <w:p w14:paraId="56B9857C">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企业名称：                          </w:t>
      </w:r>
    </w:p>
    <w:p w14:paraId="3E6B1439">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纳税人识别号：                            </w:t>
      </w:r>
    </w:p>
    <w:p w14:paraId="21D1A6EB">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银行账户：                              </w:t>
      </w:r>
    </w:p>
    <w:p w14:paraId="53EA4F4D">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开户银行：                              </w:t>
      </w:r>
    </w:p>
    <w:p w14:paraId="2FC179FD">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地址：                                  </w:t>
      </w:r>
    </w:p>
    <w:p w14:paraId="05B33E37">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电话：                                  </w:t>
      </w:r>
    </w:p>
    <w:p w14:paraId="24BE0B43">
      <w:pPr>
        <w:tabs>
          <w:tab w:val="left" w:pos="567"/>
        </w:tabs>
        <w:adjustRightInd w:val="0"/>
        <w:snapToGrid w:val="0"/>
        <w:spacing w:line="560" w:lineRule="exact"/>
        <w:ind w:firstLine="482" w:firstLineChars="200"/>
        <w:rPr>
          <w:rFonts w:ascii="仿宋" w:hAnsi="仿宋" w:eastAsia="仿宋" w:cs="仿宋"/>
          <w:b/>
          <w:color w:val="000000"/>
          <w:sz w:val="24"/>
          <w:highlight w:val="none"/>
        </w:rPr>
      </w:pPr>
      <w:r>
        <w:rPr>
          <w:rFonts w:hint="eastAsia" w:ascii="仿宋" w:hAnsi="仿宋" w:eastAsia="仿宋" w:cs="仿宋"/>
          <w:b/>
          <w:color w:val="000000"/>
          <w:sz w:val="24"/>
          <w:highlight w:val="none"/>
        </w:rPr>
        <w:t>六、物资验收</w:t>
      </w:r>
    </w:p>
    <w:p w14:paraId="1D6B2B6A">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甲方有权利对进场的物资进行各种形式的检验，乙方必须充分配合，且检验结果直接作为判定乙方交付产品质量的依据。检验费由乙方垫付，如检验不合格，检验费用由乙方承担；如检验合格，检验费用由甲方承担。</w:t>
      </w:r>
    </w:p>
    <w:p w14:paraId="52936503">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2、乙方必须在交货前对材料的品质、规格等作细致的检验，材料到工地现场卸车后，如发现其技术规格、性能与合同或甲方发出的供货单上的规格不符，质量低劣及受损坏等情况，应按以下情况分别处理：</w:t>
      </w:r>
    </w:p>
    <w:p w14:paraId="2636AD8C">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（1）材料的规格、质量等级与要求不符，甲方可拒绝接收，由乙方自费运出施工现场并重新采购供货，乙方承担重新采购供货的经济支出及对因此造成的甲方及工程损失负责赔偿。</w:t>
      </w:r>
    </w:p>
    <w:p w14:paraId="58D233B6">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（2）因时间晚于甲方通知乙方的计划进货日期的，乙方须承担因此造成的甲方延误工期损失及其他因此可能发生的损失。</w:t>
      </w:r>
    </w:p>
    <w:p w14:paraId="3CF183ED">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3、乙方负责提供给甲方所需物资的质量保证书、合格证，并由甲方指定负责验收人在送货单上签字作为收货依据。</w:t>
      </w:r>
    </w:p>
    <w:p w14:paraId="70039617">
      <w:pPr>
        <w:tabs>
          <w:tab w:val="left" w:pos="567"/>
        </w:tabs>
        <w:adjustRightInd w:val="0"/>
        <w:snapToGrid w:val="0"/>
        <w:spacing w:line="560" w:lineRule="exact"/>
        <w:ind w:firstLine="482" w:firstLineChars="200"/>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七、违约责任</w:t>
      </w:r>
    </w:p>
    <w:p w14:paraId="162172B9">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1、本合同履行过程中，乙方无正当理由不能按照合同规定或进度计划的要求按时交货，应在相关情况发生后</w:t>
      </w:r>
      <w:r>
        <w:rPr>
          <w:rFonts w:hint="eastAsia" w:ascii="仿宋" w:hAnsi="仿宋" w:eastAsia="仿宋" w:cs="仿宋"/>
          <w:bCs/>
          <w:color w:val="000000"/>
          <w:sz w:val="24"/>
          <w:highlight w:val="none"/>
          <w:lang w:val="en-US" w:eastAsia="zh-CN"/>
        </w:rPr>
        <w:t>12</w:t>
      </w:r>
      <w:r>
        <w:rPr>
          <w:rFonts w:hint="eastAsia" w:ascii="仿宋" w:hAnsi="仿宋" w:eastAsia="仿宋" w:cs="仿宋"/>
          <w:bCs/>
          <w:color w:val="000000"/>
          <w:sz w:val="24"/>
          <w:highlight w:val="none"/>
        </w:rPr>
        <w:t xml:space="preserve">小时内以传真、电报、电传等书面形式将拖延的事实、原因以及可能拖延的期限和理由通知甲方。甲方在收到乙方通知后，有权视具体情况决定采取如下方式之一进行处理： </w:t>
      </w:r>
    </w:p>
    <w:p w14:paraId="382637AA">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w:t>
      </w:r>
      <w:r>
        <w:rPr>
          <w:rFonts w:hint="eastAsia" w:ascii="仿宋" w:hAnsi="仿宋" w:eastAsia="仿宋" w:cs="仿宋"/>
          <w:bCs/>
          <w:color w:val="000000"/>
          <w:sz w:val="24"/>
          <w:highlight w:val="none"/>
          <w:lang w:val="en-US" w:eastAsia="zh-Hans"/>
        </w:rPr>
        <w:t>有甲方书面确认的</w:t>
      </w:r>
      <w:r>
        <w:rPr>
          <w:rFonts w:hint="eastAsia" w:ascii="仿宋" w:hAnsi="仿宋" w:eastAsia="仿宋" w:cs="仿宋"/>
          <w:bCs/>
          <w:color w:val="000000"/>
          <w:sz w:val="24"/>
          <w:highlight w:val="none"/>
        </w:rPr>
        <w:t>变更、修改合同</w:t>
      </w:r>
      <w:r>
        <w:rPr>
          <w:rFonts w:hint="eastAsia" w:ascii="仿宋" w:hAnsi="仿宋" w:eastAsia="仿宋" w:cs="仿宋"/>
          <w:bCs/>
          <w:color w:val="000000"/>
          <w:sz w:val="24"/>
          <w:highlight w:val="none"/>
          <w:lang w:val="en-US" w:eastAsia="zh-Hans"/>
        </w:rPr>
        <w:t>内容的</w:t>
      </w:r>
      <w:r>
        <w:rPr>
          <w:rFonts w:hint="eastAsia" w:ascii="仿宋" w:hAnsi="仿宋" w:eastAsia="仿宋" w:cs="仿宋"/>
          <w:bCs/>
          <w:color w:val="000000"/>
          <w:sz w:val="24"/>
          <w:highlight w:val="none"/>
        </w:rPr>
        <w:t>，</w:t>
      </w:r>
      <w:r>
        <w:rPr>
          <w:rFonts w:hint="eastAsia" w:ascii="仿宋" w:hAnsi="仿宋" w:eastAsia="仿宋" w:cs="仿宋"/>
          <w:bCs/>
          <w:color w:val="000000"/>
          <w:sz w:val="24"/>
          <w:highlight w:val="none"/>
          <w:lang w:val="en-US" w:eastAsia="zh-Hans"/>
        </w:rPr>
        <w:t>按照甲方书面确认相应</w:t>
      </w:r>
      <w:r>
        <w:rPr>
          <w:rFonts w:hint="eastAsia" w:ascii="仿宋" w:hAnsi="仿宋" w:eastAsia="仿宋" w:cs="仿宋"/>
          <w:bCs/>
          <w:color w:val="000000"/>
          <w:sz w:val="24"/>
          <w:highlight w:val="none"/>
        </w:rPr>
        <w:t>延长交货时间；</w:t>
      </w:r>
    </w:p>
    <w:p w14:paraId="78D629EE">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（2）解除或部分解除合同，另行采购相关货物。</w:t>
      </w:r>
    </w:p>
    <w:p w14:paraId="113FFA19">
      <w:pPr>
        <w:tabs>
          <w:tab w:val="left" w:pos="567"/>
        </w:tabs>
        <w:adjustRightInd w:val="0"/>
        <w:snapToGrid w:val="0"/>
        <w:spacing w:line="560" w:lineRule="exact"/>
        <w:ind w:firstLine="480" w:firstLineChars="200"/>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无论采取何种方式，除本合同约定的不可抗力外，乙方均应承担相应的误期违约责任，并赔偿由此给甲方造成的一切损失。</w:t>
      </w:r>
      <w:r>
        <w:rPr>
          <w:rFonts w:hint="eastAsia" w:ascii="仿宋" w:hAnsi="仿宋" w:eastAsia="仿宋" w:cs="仿宋"/>
          <w:color w:val="000000"/>
          <w:sz w:val="24"/>
          <w:highlight w:val="none"/>
        </w:rPr>
        <w:t>误期违约金比率为:每迟交1日,按合同总金额的1%计算；误期违约金最高不超过合同总金额的10%。</w:t>
      </w:r>
    </w:p>
    <w:p w14:paraId="07AC28EE">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在甲方另行采购部分或全部货物的情况下，乙方承担由此造成的价格差额，该差额为以下费用之较高者：</w:t>
      </w:r>
    </w:p>
    <w:p w14:paraId="4326575E">
      <w:pPr>
        <w:tabs>
          <w:tab w:val="left" w:pos="567"/>
        </w:tabs>
        <w:adjustRightInd w:val="0"/>
        <w:snapToGrid w:val="0"/>
        <w:spacing w:line="56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bCs/>
          <w:color w:val="000000"/>
          <w:sz w:val="24"/>
          <w:highlight w:val="none"/>
        </w:rPr>
        <w:t>（1）</w:t>
      </w:r>
      <w:r>
        <w:rPr>
          <w:rFonts w:hint="eastAsia" w:ascii="仿宋" w:hAnsi="仿宋" w:eastAsia="仿宋" w:cs="仿宋"/>
          <w:color w:val="000000"/>
          <w:sz w:val="24"/>
          <w:highlight w:val="none"/>
        </w:rPr>
        <w:t>当前市场价与相应合同价格之间的差额</w:t>
      </w:r>
      <w:r>
        <w:rPr>
          <w:rFonts w:hint="eastAsia" w:ascii="仿宋" w:hAnsi="仿宋" w:eastAsia="仿宋" w:cs="仿宋"/>
          <w:color w:val="000000"/>
          <w:sz w:val="24"/>
          <w:highlight w:val="none"/>
          <w:lang w:eastAsia="zh-CN"/>
        </w:rPr>
        <w:t>；</w:t>
      </w:r>
    </w:p>
    <w:p w14:paraId="0153C9FA">
      <w:pPr>
        <w:tabs>
          <w:tab w:val="left" w:pos="567"/>
        </w:tabs>
        <w:adjustRightInd w:val="0"/>
        <w:snapToGrid w:val="0"/>
        <w:spacing w:line="560" w:lineRule="exact"/>
        <w:ind w:firstLine="480" w:firstLineChars="200"/>
        <w:rPr>
          <w:rFonts w:ascii="仿宋" w:hAnsi="仿宋" w:eastAsia="仿宋" w:cs="仿宋"/>
          <w:color w:val="000000"/>
          <w:sz w:val="24"/>
          <w:highlight w:val="none"/>
        </w:rPr>
      </w:pPr>
      <w:r>
        <w:rPr>
          <w:rFonts w:hint="eastAsia" w:ascii="仿宋" w:hAnsi="仿宋" w:eastAsia="仿宋" w:cs="仿宋"/>
          <w:bCs/>
          <w:color w:val="000000"/>
          <w:sz w:val="24"/>
          <w:highlight w:val="none"/>
        </w:rPr>
        <w:t>（2）</w:t>
      </w:r>
      <w:r>
        <w:rPr>
          <w:rFonts w:hint="eastAsia" w:ascii="仿宋" w:hAnsi="仿宋" w:eastAsia="仿宋" w:cs="仿宋"/>
          <w:color w:val="000000"/>
          <w:sz w:val="24"/>
          <w:highlight w:val="none"/>
        </w:rPr>
        <w:t>甲方在接受货物时发生的实际费用与本合同价格之间的差额。</w:t>
      </w:r>
    </w:p>
    <w:p w14:paraId="37763AED">
      <w:pPr>
        <w:adjustRightInd w:val="0"/>
        <w:snapToGrid w:val="0"/>
        <w:spacing w:line="56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误期违约金从甲方应向乙方支付的合同价款中扣除，不足部分另行追偿。</w:t>
      </w:r>
    </w:p>
    <w:p w14:paraId="60CC2A65">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2</w:t>
      </w:r>
      <w:r>
        <w:rPr>
          <w:rFonts w:hint="eastAsia" w:ascii="仿宋" w:hAnsi="仿宋" w:eastAsia="仿宋" w:cs="仿宋"/>
          <w:bCs/>
          <w:color w:val="000000"/>
          <w:sz w:val="24"/>
          <w:highlight w:val="none"/>
        </w:rPr>
        <w:t>、合同签订后，乙方不能履约或不能全部履约，甲方有权解除合同，并赔偿因此而造成甲方的一切损失。</w:t>
      </w:r>
    </w:p>
    <w:p w14:paraId="0FD3DA5B">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3</w:t>
      </w:r>
      <w:r>
        <w:rPr>
          <w:rFonts w:hint="eastAsia" w:ascii="仿宋" w:hAnsi="仿宋" w:eastAsia="仿宋" w:cs="仿宋"/>
          <w:bCs/>
          <w:color w:val="000000"/>
          <w:sz w:val="24"/>
          <w:highlight w:val="none"/>
        </w:rPr>
        <w:t>、乙方所交物资的品种、型号、规格不符合合同规定或者甲方另行发给乙方通知的，如果甲方同意利用，双方协商</w:t>
      </w:r>
      <w:r>
        <w:rPr>
          <w:rFonts w:hint="eastAsia" w:ascii="仿宋" w:hAnsi="仿宋" w:eastAsia="仿宋" w:cs="仿宋"/>
          <w:bCs/>
          <w:color w:val="000000"/>
          <w:sz w:val="24"/>
          <w:highlight w:val="none"/>
          <w:lang w:val="en-US" w:eastAsia="zh-Hans"/>
        </w:rPr>
        <w:t>书面</w:t>
      </w:r>
      <w:r>
        <w:rPr>
          <w:rFonts w:hint="eastAsia" w:ascii="仿宋" w:hAnsi="仿宋" w:eastAsia="仿宋" w:cs="仿宋"/>
          <w:bCs/>
          <w:color w:val="000000"/>
          <w:sz w:val="24"/>
          <w:highlight w:val="none"/>
        </w:rPr>
        <w:t>定价；如果甲方不能利用或者不同意利用或者双方对于价格不能协商一致的，乙方应负责按甲方要求的时间予以退换，并承担由此造成甲方费用增加、工期延误等损失；如不能予以退换的，按不能交货处理。</w:t>
      </w:r>
    </w:p>
    <w:p w14:paraId="50909B8B">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4</w:t>
      </w:r>
      <w:r>
        <w:rPr>
          <w:rFonts w:hint="eastAsia" w:ascii="仿宋" w:hAnsi="仿宋" w:eastAsia="仿宋" w:cs="仿宋"/>
          <w:bCs/>
          <w:color w:val="000000"/>
          <w:sz w:val="24"/>
          <w:highlight w:val="none"/>
        </w:rPr>
        <w:t>、对于因乙方运输方式不合理造成货物到达指定地点之后货物的损失或丢失，乙方应承担全部责任。</w:t>
      </w:r>
    </w:p>
    <w:p w14:paraId="2B30CE40">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5</w:t>
      </w:r>
      <w:r>
        <w:rPr>
          <w:rFonts w:hint="eastAsia" w:ascii="仿宋" w:hAnsi="仿宋" w:eastAsia="仿宋" w:cs="仿宋"/>
          <w:bCs/>
          <w:color w:val="000000"/>
          <w:sz w:val="24"/>
          <w:highlight w:val="none"/>
        </w:rPr>
        <w:t>、乙方对甲方造成的经济损失，甲方有权从乙方的余款中扣除，余款不足抵补损失时，应由乙方补齐差额部分。</w:t>
      </w:r>
    </w:p>
    <w:p w14:paraId="6D4E4D1F">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6</w:t>
      </w:r>
      <w:r>
        <w:rPr>
          <w:rFonts w:hint="eastAsia" w:ascii="仿宋" w:hAnsi="仿宋" w:eastAsia="仿宋" w:cs="仿宋"/>
          <w:bCs/>
          <w:color w:val="000000"/>
          <w:sz w:val="24"/>
          <w:highlight w:val="none"/>
        </w:rPr>
        <w:t>、乙方因物资包装不符合合同规定，必须返修或重新包装的，乙方应负责返修或重新包装，并承担支出的费用。甲方不要求返修或重新包装而要求赔偿损失的，乙方应当偿付甲方该不合格包装物低于合格包装物的价值部分。因包装不符合规定造成货物损坏或灭失的，乙方应当负责赔偿。</w:t>
      </w:r>
    </w:p>
    <w:p w14:paraId="1D80291E">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7</w:t>
      </w:r>
      <w:r>
        <w:rPr>
          <w:rFonts w:hint="eastAsia" w:ascii="仿宋" w:hAnsi="仿宋" w:eastAsia="仿宋" w:cs="仿宋"/>
          <w:bCs/>
          <w:color w:val="000000"/>
          <w:sz w:val="24"/>
          <w:highlight w:val="none"/>
        </w:rPr>
        <w:t>、乙方装卸、运输过程中的一切人员、机械、车辆安全，均全部由乙方承担，乙方应按国家及地方规定办理相关手续及各类保险、责任自负。</w:t>
      </w:r>
    </w:p>
    <w:p w14:paraId="0EA42918">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8</w:t>
      </w:r>
      <w:r>
        <w:rPr>
          <w:rFonts w:hint="eastAsia" w:ascii="仿宋" w:hAnsi="仿宋" w:eastAsia="仿宋" w:cs="仿宋"/>
          <w:bCs/>
          <w:color w:val="000000"/>
          <w:sz w:val="24"/>
          <w:highlight w:val="none"/>
        </w:rPr>
        <w:t>、乙方装卸、运输中应做相应的环保措施（符合国家环保要求），因环保造成的一切罚款由乙方自行承担。</w:t>
      </w:r>
    </w:p>
    <w:p w14:paraId="6D18044F">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9</w:t>
      </w:r>
      <w:r>
        <w:rPr>
          <w:rFonts w:hint="eastAsia" w:ascii="仿宋" w:hAnsi="仿宋" w:eastAsia="仿宋" w:cs="仿宋"/>
          <w:bCs/>
          <w:color w:val="000000"/>
          <w:sz w:val="24"/>
          <w:highlight w:val="none"/>
        </w:rPr>
        <w:t>、乙方应保证其对货物具有所有权或受委托代理销售权，并向甲方出具相关凭证。乙方亦保证交付的货物不附有任何担保权或其他留置权。如第三方向甲方主张任何权利，乙方负责与第三方交涉并承担由此引起的一切法律责任和费用及赔偿甲方的一切损失。</w:t>
      </w:r>
    </w:p>
    <w:p w14:paraId="4C3EEC6A">
      <w:pPr>
        <w:tabs>
          <w:tab w:val="left" w:pos="567"/>
        </w:tabs>
        <w:adjustRightInd w:val="0"/>
        <w:snapToGrid w:val="0"/>
        <w:spacing w:line="56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1</w:t>
      </w:r>
      <w:r>
        <w:rPr>
          <w:rFonts w:hint="eastAsia" w:ascii="仿宋" w:hAnsi="仿宋" w:eastAsia="仿宋" w:cs="仿宋"/>
          <w:bCs/>
          <w:color w:val="000000"/>
          <w:sz w:val="24"/>
          <w:highlight w:val="none"/>
          <w:lang w:val="en-US" w:eastAsia="zh-CN"/>
        </w:rPr>
        <w:t>0</w:t>
      </w:r>
      <w:r>
        <w:rPr>
          <w:rFonts w:hint="eastAsia" w:ascii="仿宋" w:hAnsi="仿宋" w:eastAsia="仿宋" w:cs="仿宋"/>
          <w:bCs/>
          <w:color w:val="000000"/>
          <w:sz w:val="24"/>
          <w:highlight w:val="none"/>
        </w:rPr>
        <w:t xml:space="preserve">、因乙方原因导致法院、仲裁委、公安局等政府部门向甲方出具协助执行通知书等法律文书或因乙方对外发生诉讼或仲裁案件，而对本项目产生影响的，甲方有权解除合同，并且乙方应立即退场，否则乙方需向甲方承担合同额的5%的违约金。  </w:t>
      </w:r>
    </w:p>
    <w:p w14:paraId="7D91CA59">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w:t>
      </w:r>
      <w:r>
        <w:rPr>
          <w:rFonts w:hint="eastAsia" w:ascii="仿宋" w:hAnsi="仿宋" w:eastAsia="仿宋" w:cs="仿宋"/>
          <w:bCs/>
          <w:color w:val="000000"/>
          <w:sz w:val="24"/>
          <w:highlight w:val="none"/>
          <w:lang w:val="en-US" w:eastAsia="zh-CN"/>
        </w:rPr>
        <w:t>1</w:t>
      </w:r>
      <w:r>
        <w:rPr>
          <w:rFonts w:hint="eastAsia"/>
          <w:highlight w:val="none"/>
        </w:rPr>
        <w:t>、</w:t>
      </w:r>
      <w:r>
        <w:rPr>
          <w:rFonts w:hint="eastAsia" w:ascii="仿宋" w:hAnsi="仿宋" w:eastAsia="仿宋" w:cs="仿宋"/>
          <w:bCs/>
          <w:color w:val="000000"/>
          <w:sz w:val="24"/>
          <w:highlight w:val="none"/>
        </w:rPr>
        <w:t>乙方存在任何违约行为，除按照前述约定承担违约责任外，还应赔偿甲方全部损失，甲方损失包括但不限于甲方为主张权利产生的诉讼费、保全费、保全保险费、律师费、差旅费等全部费用。</w:t>
      </w:r>
    </w:p>
    <w:p w14:paraId="0DAD1C18">
      <w:pPr>
        <w:tabs>
          <w:tab w:val="left" w:pos="567"/>
        </w:tabs>
        <w:adjustRightInd w:val="0"/>
        <w:snapToGrid w:val="0"/>
        <w:spacing w:line="560" w:lineRule="exact"/>
        <w:ind w:firstLine="482" w:firstLineChars="200"/>
        <w:rPr>
          <w:rFonts w:ascii="仿宋" w:hAnsi="仿宋" w:eastAsia="仿宋" w:cs="仿宋"/>
          <w:b/>
          <w:bCs/>
          <w:color w:val="000000"/>
          <w:sz w:val="24"/>
          <w:highlight w:val="none"/>
        </w:rPr>
      </w:pPr>
      <w:r>
        <w:rPr>
          <w:rFonts w:hint="eastAsia" w:ascii="仿宋" w:hAnsi="仿宋" w:eastAsia="仿宋" w:cs="仿宋"/>
          <w:b/>
          <w:bCs/>
          <w:color w:val="000000"/>
          <w:sz w:val="24"/>
          <w:highlight w:val="none"/>
        </w:rPr>
        <w:t>八、不可抗力</w:t>
      </w:r>
    </w:p>
    <w:p w14:paraId="12ADB693">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不可抗力事故系指供货双方在缔结合同时所不能预见的，并且对其发生及后果无法避免和无法克服的事件。签约双方任一方由于受到诸如战争、严重火灾、洪水、台风、地震、严重传染性疾病等不可抗力事件的影响而不能执行合同时，履行合同的期限应予以延长，则延长的期限应相当于事件所影响的时间。</w:t>
      </w:r>
    </w:p>
    <w:p w14:paraId="15022490">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 2、受阻一方应在不可抗力事件发生后尽快用电报、传真或电传等书面形式通知对方，并于事故发生后14日内将有关当局出具的证明文件用特快专递或挂号信寄给对方审阅确认；同时，受阻方应尽可能继续履行合同义务，以及寻求采取合理的方案履行不受不可抗力影响的其他事项。一旦不可抗力事故的影响可能导致工期延误或持续</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lang w:val="en-US" w:eastAsia="zh-CN"/>
        </w:rPr>
        <w:t>30</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日以上时，双方可通过友好协商在合理的时间内达成终止合同或进一步履行合同的协议。</w:t>
      </w:r>
    </w:p>
    <w:p w14:paraId="7AAFCEA0">
      <w:pPr>
        <w:tabs>
          <w:tab w:val="left" w:pos="567"/>
        </w:tabs>
        <w:adjustRightInd w:val="0"/>
        <w:snapToGrid w:val="0"/>
        <w:spacing w:line="560" w:lineRule="exact"/>
        <w:ind w:firstLine="836" w:firstLineChars="347"/>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rPr>
        <w:t>九、</w:t>
      </w:r>
      <w:r>
        <w:rPr>
          <w:rFonts w:hint="eastAsia" w:ascii="仿宋" w:hAnsi="仿宋" w:eastAsia="仿宋" w:cs="仿宋"/>
          <w:b/>
          <w:color w:val="000000"/>
          <w:sz w:val="24"/>
          <w:highlight w:val="none"/>
          <w:lang w:val="en-US" w:eastAsia="zh-CN"/>
        </w:rPr>
        <w:t>担保</w:t>
      </w:r>
    </w:p>
    <w:p w14:paraId="15B8B901">
      <w:pPr>
        <w:tabs>
          <w:tab w:val="left" w:pos="567"/>
        </w:tabs>
        <w:adjustRightInd w:val="0"/>
        <w:snapToGrid w:val="0"/>
        <w:spacing w:line="560" w:lineRule="exact"/>
        <w:ind w:firstLine="480" w:firstLineChars="200"/>
        <w:rPr>
          <w:rFonts w:hint="eastAsia" w:ascii="仿宋" w:hAnsi="仿宋" w:eastAsia="仿宋" w:cs="仿宋"/>
          <w:b/>
          <w:color w:val="000000"/>
          <w:sz w:val="24"/>
          <w:highlight w:val="none"/>
          <w:lang w:val="en-US" w:eastAsia="zh-CN"/>
        </w:rPr>
      </w:pPr>
      <w:r>
        <w:rPr>
          <w:rFonts w:hint="eastAsia" w:ascii="仿宋" w:hAnsi="仿宋" w:eastAsia="仿宋" w:cs="仿宋"/>
          <w:bCs/>
          <w:color w:val="000000"/>
          <w:sz w:val="24"/>
          <w:highlight w:val="none"/>
          <w:lang w:val="en-US" w:eastAsia="zh-CN"/>
        </w:rPr>
        <w:t>/</w:t>
      </w:r>
    </w:p>
    <w:p w14:paraId="1B2E9A16">
      <w:pPr>
        <w:tabs>
          <w:tab w:val="left" w:pos="567"/>
        </w:tabs>
        <w:adjustRightInd w:val="0"/>
        <w:snapToGrid w:val="0"/>
        <w:spacing w:line="560" w:lineRule="exact"/>
        <w:ind w:firstLine="836" w:firstLineChars="347"/>
        <w:rPr>
          <w:rFonts w:ascii="仿宋" w:hAnsi="仿宋" w:eastAsia="仿宋" w:cs="仿宋"/>
          <w:b/>
          <w:bCs/>
          <w:color w:val="000000"/>
          <w:sz w:val="24"/>
          <w:highlight w:val="none"/>
        </w:rPr>
      </w:pPr>
      <w:r>
        <w:rPr>
          <w:rFonts w:hint="eastAsia" w:ascii="仿宋" w:hAnsi="仿宋" w:eastAsia="仿宋" w:cs="仿宋"/>
          <w:b/>
          <w:color w:val="000000"/>
          <w:sz w:val="24"/>
          <w:highlight w:val="none"/>
        </w:rPr>
        <w:t>十</w:t>
      </w:r>
      <w:r>
        <w:rPr>
          <w:rFonts w:hint="eastAsia" w:ascii="仿宋" w:hAnsi="仿宋" w:eastAsia="仿宋" w:cs="仿宋"/>
          <w:b/>
          <w:color w:val="000000"/>
          <w:sz w:val="24"/>
          <w:highlight w:val="none"/>
          <w:lang w:eastAsia="zh-CN"/>
        </w:rPr>
        <w:t>、</w:t>
      </w:r>
      <w:r>
        <w:rPr>
          <w:rFonts w:hint="eastAsia" w:ascii="仿宋" w:hAnsi="仿宋" w:eastAsia="仿宋" w:cs="仿宋"/>
          <w:b/>
          <w:bCs/>
          <w:color w:val="000000"/>
          <w:sz w:val="24"/>
          <w:highlight w:val="none"/>
        </w:rPr>
        <w:t>争议解决</w:t>
      </w:r>
    </w:p>
    <w:p w14:paraId="5283DFA1">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发生争议后，双方首先协商解决，协商不成时，提交甲方住所地有管辖权的人民法院解决。本合同关于争议的解决方式的约定具有最终效力，双方以后发生的补充合同、会议纪要、往来函件、发料单、结算单等涉及到争议解决方式的，均不得对抗此约定。</w:t>
      </w:r>
    </w:p>
    <w:p w14:paraId="6AD48275">
      <w:pPr>
        <w:tabs>
          <w:tab w:val="left" w:pos="567"/>
        </w:tabs>
        <w:adjustRightInd w:val="0"/>
        <w:snapToGrid w:val="0"/>
        <w:spacing w:line="560" w:lineRule="exact"/>
        <w:ind w:firstLine="723" w:firstLineChars="300"/>
        <w:rPr>
          <w:rFonts w:ascii="仿宋" w:hAnsi="仿宋" w:eastAsia="仿宋" w:cs="仿宋"/>
          <w:b/>
          <w:bCs/>
          <w:color w:val="000000"/>
          <w:sz w:val="24"/>
          <w:highlight w:val="none"/>
        </w:rPr>
      </w:pPr>
      <w:r>
        <w:rPr>
          <w:rFonts w:hint="eastAsia" w:ascii="仿宋" w:hAnsi="仿宋" w:eastAsia="仿宋" w:cs="仿宋"/>
          <w:b/>
          <w:color w:val="000000"/>
          <w:sz w:val="24"/>
          <w:highlight w:val="none"/>
        </w:rPr>
        <w:t>十</w:t>
      </w:r>
      <w:r>
        <w:rPr>
          <w:rFonts w:hint="eastAsia" w:ascii="仿宋" w:hAnsi="仿宋" w:eastAsia="仿宋" w:cs="仿宋"/>
          <w:b/>
          <w:color w:val="000000"/>
          <w:sz w:val="24"/>
          <w:highlight w:val="none"/>
          <w:lang w:val="en-US" w:eastAsia="zh-CN"/>
        </w:rPr>
        <w:t>一</w:t>
      </w:r>
      <w:r>
        <w:rPr>
          <w:rFonts w:hint="eastAsia" w:ascii="仿宋" w:hAnsi="仿宋" w:eastAsia="仿宋" w:cs="仿宋"/>
          <w:b/>
          <w:color w:val="000000"/>
          <w:sz w:val="24"/>
          <w:highlight w:val="none"/>
        </w:rPr>
        <w:t>、</w:t>
      </w:r>
      <w:r>
        <w:rPr>
          <w:rFonts w:hint="eastAsia" w:ascii="仿宋" w:hAnsi="仿宋" w:eastAsia="仿宋" w:cs="仿宋"/>
          <w:b/>
          <w:bCs/>
          <w:color w:val="000000"/>
          <w:sz w:val="24"/>
          <w:highlight w:val="none"/>
        </w:rPr>
        <w:t>合同效力及份数</w:t>
      </w:r>
    </w:p>
    <w:p w14:paraId="266E11D3">
      <w:pPr>
        <w:adjustRightInd w:val="0"/>
        <w:snapToGrid w:val="0"/>
        <w:spacing w:line="5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本合同在双方盖章后生效。</w:t>
      </w:r>
    </w:p>
    <w:p w14:paraId="281BE103">
      <w:pPr>
        <w:adjustRightInd w:val="0"/>
        <w:snapToGrid w:val="0"/>
        <w:spacing w:line="5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本合同印刷字体内容若有修改变动（包括但不限于删除、增添、涂改等），必须经双方在修改处同时盖章确认方可生效，否则仍以原印刷字体内容为准。</w:t>
      </w:r>
    </w:p>
    <w:p w14:paraId="5F9BFB73">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2、本合同一式</w:t>
      </w:r>
      <w:r>
        <w:rPr>
          <w:rFonts w:hint="eastAsia" w:ascii="仿宋" w:hAnsi="仿宋" w:eastAsia="仿宋" w:cs="仿宋"/>
          <w:bCs/>
          <w:color w:val="000000"/>
          <w:sz w:val="24"/>
          <w:highlight w:val="none"/>
          <w:u w:val="single"/>
        </w:rPr>
        <w:t>陆</w:t>
      </w:r>
      <w:r>
        <w:rPr>
          <w:rFonts w:hint="eastAsia" w:ascii="仿宋" w:hAnsi="仿宋" w:eastAsia="仿宋" w:cs="仿宋"/>
          <w:bCs/>
          <w:color w:val="000000"/>
          <w:sz w:val="24"/>
          <w:highlight w:val="none"/>
        </w:rPr>
        <w:t>份，具有同等法律效力，甲方执</w:t>
      </w:r>
      <w:r>
        <w:rPr>
          <w:rFonts w:hint="eastAsia" w:ascii="仿宋" w:hAnsi="仿宋" w:eastAsia="仿宋" w:cs="仿宋"/>
          <w:bCs/>
          <w:color w:val="000000"/>
          <w:sz w:val="24"/>
          <w:highlight w:val="none"/>
          <w:u w:val="single"/>
        </w:rPr>
        <w:t>肆</w:t>
      </w:r>
      <w:r>
        <w:rPr>
          <w:rFonts w:hint="eastAsia" w:ascii="仿宋" w:hAnsi="仿宋" w:eastAsia="仿宋" w:cs="仿宋"/>
          <w:bCs/>
          <w:color w:val="000000"/>
          <w:sz w:val="24"/>
          <w:highlight w:val="none"/>
        </w:rPr>
        <w:t>份，乙方</w:t>
      </w:r>
      <w:r>
        <w:rPr>
          <w:rFonts w:hint="eastAsia" w:ascii="仿宋" w:hAnsi="仿宋" w:eastAsia="仿宋" w:cs="仿宋"/>
          <w:bCs/>
          <w:color w:val="000000"/>
          <w:sz w:val="24"/>
          <w:highlight w:val="none"/>
          <w:u w:val="single"/>
        </w:rPr>
        <w:t>贰</w:t>
      </w:r>
      <w:r>
        <w:rPr>
          <w:rFonts w:hint="eastAsia" w:ascii="仿宋" w:hAnsi="仿宋" w:eastAsia="仿宋" w:cs="仿宋"/>
          <w:bCs/>
          <w:color w:val="000000"/>
          <w:sz w:val="24"/>
          <w:highlight w:val="none"/>
        </w:rPr>
        <w:t>份。</w:t>
      </w:r>
    </w:p>
    <w:p w14:paraId="6F00D47B">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3、本合同未尽事宜，由甲乙双方另行协商。</w:t>
      </w:r>
    </w:p>
    <w:p w14:paraId="4C55490A">
      <w:pPr>
        <w:tabs>
          <w:tab w:val="left" w:pos="567"/>
        </w:tabs>
        <w:adjustRightInd w:val="0"/>
        <w:snapToGrid w:val="0"/>
        <w:spacing w:line="560" w:lineRule="exact"/>
        <w:ind w:firstLine="723" w:firstLineChars="300"/>
        <w:rPr>
          <w:rFonts w:ascii="仿宋" w:hAnsi="仿宋" w:eastAsia="仿宋" w:cs="仿宋"/>
          <w:b/>
          <w:color w:val="000000"/>
          <w:sz w:val="24"/>
          <w:highlight w:val="none"/>
        </w:rPr>
      </w:pPr>
      <w:r>
        <w:rPr>
          <w:rFonts w:hint="eastAsia" w:ascii="仿宋" w:hAnsi="仿宋" w:eastAsia="仿宋" w:cs="仿宋"/>
          <w:b/>
          <w:color w:val="000000"/>
          <w:sz w:val="24"/>
          <w:highlight w:val="none"/>
        </w:rPr>
        <w:t>十</w:t>
      </w:r>
      <w:r>
        <w:rPr>
          <w:rFonts w:hint="eastAsia" w:ascii="仿宋" w:hAnsi="仿宋" w:eastAsia="仿宋" w:cs="仿宋"/>
          <w:b/>
          <w:color w:val="000000"/>
          <w:sz w:val="24"/>
          <w:highlight w:val="none"/>
          <w:lang w:val="en-US" w:eastAsia="zh-CN"/>
        </w:rPr>
        <w:t>二</w:t>
      </w:r>
      <w:r>
        <w:rPr>
          <w:rFonts w:hint="eastAsia" w:ascii="仿宋" w:hAnsi="仿宋" w:eastAsia="仿宋" w:cs="仿宋"/>
          <w:b/>
          <w:color w:val="000000"/>
          <w:sz w:val="24"/>
          <w:highlight w:val="none"/>
        </w:rPr>
        <w:t>、其他约定</w:t>
      </w:r>
    </w:p>
    <w:p w14:paraId="21FFE61B">
      <w:pPr>
        <w:spacing w:line="5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000000"/>
          <w:sz w:val="24"/>
          <w:highlight w:val="none"/>
        </w:rPr>
        <w:t>合同权利或义务的转移需经相对方书面同意,否则该转让行为对相对方不发生法律效</w:t>
      </w:r>
      <w:r>
        <w:rPr>
          <w:rFonts w:hint="eastAsia" w:ascii="仿宋" w:hAnsi="仿宋" w:eastAsia="仿宋" w:cs="仿宋"/>
          <w:bCs/>
          <w:color w:val="auto"/>
          <w:sz w:val="24"/>
          <w:highlight w:val="none"/>
        </w:rPr>
        <w:t>力。</w:t>
      </w:r>
    </w:p>
    <w:p w14:paraId="3CA9477F">
      <w:pPr>
        <w:tabs>
          <w:tab w:val="left" w:pos="567"/>
        </w:tabs>
        <w:adjustRightInd w:val="0"/>
        <w:snapToGrid w:val="0"/>
        <w:spacing w:line="360" w:lineRule="exact"/>
        <w:ind w:firstLine="480" w:firstLineChars="200"/>
        <w:rPr>
          <w:rFonts w:hint="eastAsia" w:ascii="仿宋" w:hAnsi="仿宋" w:eastAsia="仿宋" w:cs="仿宋"/>
          <w:color w:val="000000"/>
          <w:sz w:val="24"/>
          <w:highlight w:val="none"/>
        </w:rPr>
      </w:pPr>
    </w:p>
    <w:p w14:paraId="63216D5A">
      <w:pPr>
        <w:tabs>
          <w:tab w:val="left" w:pos="567"/>
        </w:tabs>
        <w:adjustRightInd w:val="0"/>
        <w:snapToGrid w:val="0"/>
        <w:spacing w:line="360" w:lineRule="exact"/>
        <w:ind w:firstLine="480" w:firstLineChars="200"/>
        <w:rPr>
          <w:rFonts w:hint="eastAsia" w:ascii="仿宋" w:hAnsi="仿宋" w:eastAsia="仿宋" w:cs="仿宋"/>
          <w:color w:val="000000"/>
          <w:sz w:val="24"/>
          <w:highlight w:val="none"/>
        </w:rPr>
      </w:pPr>
    </w:p>
    <w:p w14:paraId="05D01510">
      <w:pPr>
        <w:tabs>
          <w:tab w:val="left" w:pos="567"/>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甲    方：（盖章）　 　            乙    方：（盖章） </w:t>
      </w:r>
    </w:p>
    <w:p w14:paraId="0252D1CE">
      <w:pPr>
        <w:tabs>
          <w:tab w:val="left" w:pos="567"/>
        </w:tabs>
        <w:adjustRightInd w:val="0"/>
        <w:snapToGrid w:val="0"/>
        <w:spacing w:line="360" w:lineRule="exact"/>
        <w:ind w:firstLine="2" w:firstLineChars="1"/>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w:t>
      </w:r>
    </w:p>
    <w:p w14:paraId="69CA10D0">
      <w:pPr>
        <w:tabs>
          <w:tab w:val="left" w:pos="567"/>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法定代表人：                       法定代表人：</w:t>
      </w:r>
    </w:p>
    <w:p w14:paraId="66A2AB97">
      <w:pPr>
        <w:tabs>
          <w:tab w:val="left" w:pos="567"/>
        </w:tabs>
        <w:adjustRightInd w:val="0"/>
        <w:snapToGrid w:val="0"/>
        <w:spacing w:line="360" w:lineRule="exact"/>
        <w:ind w:left="778" w:hanging="777" w:hangingChars="324"/>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或授权委托人：                     或授权委托人：</w:t>
      </w:r>
    </w:p>
    <w:p w14:paraId="25D68C35">
      <w:pPr>
        <w:tabs>
          <w:tab w:val="left" w:pos="567"/>
        </w:tabs>
        <w:adjustRightInd w:val="0"/>
        <w:snapToGrid w:val="0"/>
        <w:spacing w:line="360" w:lineRule="exact"/>
        <w:ind w:left="778" w:hanging="777" w:hangingChars="324"/>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w:t>
      </w:r>
    </w:p>
    <w:p w14:paraId="1E7BDD7A">
      <w:pPr>
        <w:widowControl/>
        <w:spacing w:line="360" w:lineRule="auto"/>
        <w:ind w:firstLine="480" w:firstLineChars="200"/>
        <w:outlineLvl w:val="9"/>
        <w:rPr>
          <w:rFonts w:hint="eastAsia" w:hAnsi="宋体" w:cs="宋体"/>
          <w:b/>
          <w:color w:val="auto"/>
          <w:sz w:val="32"/>
          <w:szCs w:val="32"/>
          <w:highlight w:val="none"/>
        </w:rPr>
      </w:pPr>
      <w:r>
        <w:rPr>
          <w:rFonts w:hint="eastAsia" w:ascii="仿宋" w:hAnsi="仿宋" w:eastAsia="仿宋" w:cs="仿宋"/>
          <w:color w:val="000000"/>
          <w:sz w:val="24"/>
          <w:highlight w:val="none"/>
        </w:rPr>
        <w:t xml:space="preserve">时间：   年  月  日                时间：   年  月  日 </w:t>
      </w:r>
    </w:p>
    <w:p w14:paraId="160CB4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3DB7">
    <w:pPr>
      <w:pStyle w:val="4"/>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A828D2">
                          <w:pPr>
                            <w:pStyle w:val="4"/>
                          </w:pPr>
                          <w:r>
                            <w:fldChar w:fldCharType="begin"/>
                          </w:r>
                          <w:r>
                            <w:instrText xml:space="preserve"> PAGE  \* MERGEFORMAT </w:instrText>
                          </w:r>
                          <w:r>
                            <w:fldChar w:fldCharType="separate"/>
                          </w:r>
                          <w:r>
                            <w:t>62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07A828D2">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87CD9">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FADB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5D912">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3F761B"/>
    <w:multiLevelType w:val="singleLevel"/>
    <w:tmpl w:val="243F761B"/>
    <w:lvl w:ilvl="0" w:tentative="0">
      <w:start w:val="1"/>
      <w:numFmt w:val="chineseCounting"/>
      <w:suff w:val="nothing"/>
      <w:lvlText w:val="%1、"/>
      <w:lvlJc w:val="left"/>
      <w:rPr>
        <w:rFonts w:hint="eastAsia"/>
      </w:rPr>
    </w:lvl>
  </w:abstractNum>
  <w:abstractNum w:abstractNumId="1">
    <w:nsid w:val="7F799585"/>
    <w:multiLevelType w:val="singleLevel"/>
    <w:tmpl w:val="7F799585"/>
    <w:lvl w:ilvl="0" w:tentative="0">
      <w:start w:val="1"/>
      <w:numFmt w:val="decimal"/>
      <w:suff w:val="nothing"/>
      <w:lvlText w:val="%1、"/>
      <w:lvlJc w:val="left"/>
      <w:pPr>
        <w:ind w:left="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F05D4"/>
    <w:rsid w:val="738F0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val="0"/>
      <w:spacing w:before="260" w:after="260" w:line="415" w:lineRule="auto"/>
      <w:outlineLvl w:val="1"/>
    </w:pPr>
    <w:rPr>
      <w:rFonts w:ascii="Arial" w:hAnsi="Arial" w:eastAsia="黑体"/>
      <w:b/>
      <w:bCs/>
      <w:kern w:val="0"/>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6">
    <w:name w:val="Body Text First Indent"/>
    <w:basedOn w:val="3"/>
    <w:next w:val="7"/>
    <w:semiHidden/>
    <w:qFormat/>
    <w:uiPriority w:val="0"/>
    <w:pPr>
      <w:ind w:firstLine="420" w:firstLineChars="100"/>
    </w:pPr>
    <w:rPr>
      <w:rFonts w:eastAsia="Times New Roman"/>
    </w:rPr>
  </w:style>
  <w:style w:type="paragraph" w:customStyle="1" w:styleId="7">
    <w:name w:val="段落正文"/>
    <w:basedOn w:val="1"/>
    <w:qFormat/>
    <w:uiPriority w:val="0"/>
    <w:pPr>
      <w:spacing w:before="50" w:beforeLines="50" w:line="360" w:lineRule="auto"/>
      <w:ind w:firstLine="200" w:firstLineChars="200"/>
    </w:pPr>
    <w:rPr>
      <w:spacing w:val="2"/>
      <w:sz w:val="24"/>
      <w:szCs w:val="20"/>
    </w:rPr>
  </w:style>
  <w:style w:type="character" w:customStyle="1" w:styleId="10">
    <w:name w:val="font11"/>
    <w:basedOn w:val="9"/>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file:///C:\Users\ADMINI~1\AppData\Local\Temp\ksohtml19756\wps3.jpg" TargetMode="Externa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file:///C:\Users\ADMINI~1\AppData\Local\Temp\ksohtml19756\wps5.jpg" TargetMode="External"/><Relationship Id="rId12" Type="http://schemas.openxmlformats.org/officeDocument/2006/relationships/image" Target="media/image3.jpeg"/><Relationship Id="rId11" Type="http://schemas.openxmlformats.org/officeDocument/2006/relationships/image" Target="file:///C:\Users\ADMINI~1\AppData\Local\Temp\ksohtml19756\wps4.jpg" TargetMode="Externa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2025-06-27T09:54:00Z</dcterms:created>
  <dc:creator>三岁羡</dc:creator>
  <cp:lastModifiedBy>三岁羡</cp:lastModifiedBy>
  <dcterms:modified xsi:type="dcterms:W3CDTF">2025-06-27T09:54:58Z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5748D2AA23004B389775D3B3A0C2EECC_11</vt:lpwstr>
  </property>
  <property fmtid="{D5CDD505-2E9C-101B-9397-08002B2CF9AE}" pid="4" name="KSOTemplateDocerSaveRecord">
    <vt:lpwstr>eyJoZGlkIjoiZjZlZTYxZGMxZWQ3NTVmYTllZGZjNjRlZGUxMTRhNDUiLCJ1c2VySWQiOiI0OTA4MDEyMzMifQ==</vt:lpwstr>
  </property>
</Properties>
</file>