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82E89C">
      <w:pPr>
        <w:rPr>
          <w:rFonts w:hint="default" w:ascii="Times New Roman" w:hAnsi="Times New Roman" w:eastAsia="黑体" w:cs="Times New Roman"/>
          <w:bCs/>
          <w:color w:val="auto"/>
          <w:sz w:val="32"/>
          <w:szCs w:val="32"/>
          <w:highlight w:val="none"/>
          <w:lang w:eastAsia="zh-CN"/>
        </w:rPr>
      </w:pPr>
    </w:p>
    <w:p w14:paraId="1B50C223">
      <w:pPr>
        <w:rPr>
          <w:rFonts w:hint="eastAsia" w:eastAsia="黑体" w:cs="Times New Roman"/>
          <w:bCs/>
          <w:color w:val="auto"/>
          <w:sz w:val="32"/>
          <w:szCs w:val="32"/>
          <w:highlight w:val="none"/>
          <w:lang w:val="en-US" w:eastAsia="zh-CN"/>
        </w:rPr>
      </w:pPr>
      <w:r>
        <w:rPr>
          <w:rFonts w:hint="default" w:ascii="Times New Roman" w:hAnsi="Times New Roman" w:eastAsia="黑体" w:cs="Times New Roman"/>
          <w:bCs/>
          <w:color w:val="auto"/>
          <w:sz w:val="32"/>
          <w:szCs w:val="32"/>
          <w:highlight w:val="none"/>
          <w:lang w:eastAsia="zh-CN"/>
        </w:rPr>
        <w:t>附件</w:t>
      </w:r>
      <w:r>
        <w:rPr>
          <w:rFonts w:hint="eastAsia" w:eastAsia="黑体" w:cs="Times New Roman"/>
          <w:bCs/>
          <w:color w:val="auto"/>
          <w:sz w:val="32"/>
          <w:szCs w:val="32"/>
          <w:highlight w:val="none"/>
          <w:lang w:val="en-US" w:eastAsia="zh-CN"/>
        </w:rPr>
        <w:t>1：</w:t>
      </w:r>
    </w:p>
    <w:p w14:paraId="480F6F9D">
      <w:pPr>
        <w:jc w:val="center"/>
        <w:rPr>
          <w:rFonts w:hint="default" w:ascii="Times New Roman" w:hAnsi="Times New Roman" w:eastAsia="方正小标宋简体" w:cs="Times New Roman"/>
          <w:bCs/>
          <w:color w:val="auto"/>
          <w:sz w:val="44"/>
          <w:szCs w:val="44"/>
          <w:highlight w:val="none"/>
          <w:lang w:val="en-US" w:eastAsia="zh-CN"/>
        </w:rPr>
      </w:pPr>
      <w:r>
        <w:rPr>
          <w:rFonts w:hint="eastAsia" w:ascii="Times New Roman" w:hAnsi="Times New Roman" w:eastAsia="方正小标宋简体" w:cs="Times New Roman"/>
          <w:bCs/>
          <w:color w:val="auto"/>
          <w:sz w:val="44"/>
          <w:szCs w:val="44"/>
          <w:highlight w:val="none"/>
          <w:lang w:val="en-US" w:eastAsia="zh-CN"/>
        </w:rPr>
        <w:t>营业执照等证明材料</w:t>
      </w:r>
    </w:p>
    <w:p w14:paraId="2FC3046C">
      <w:pPr>
        <w:rPr>
          <w:rFonts w:hint="default" w:ascii="Times New Roman" w:hAnsi="Times New Roman" w:eastAsia="黑体" w:cs="Times New Roman"/>
          <w:bCs/>
          <w:color w:val="auto"/>
          <w:sz w:val="32"/>
          <w:szCs w:val="32"/>
          <w:highlight w:val="none"/>
          <w:lang w:eastAsia="zh-CN"/>
        </w:rPr>
      </w:pPr>
    </w:p>
    <w:p w14:paraId="76A9F50F">
      <w:pPr>
        <w:pStyle w:val="2"/>
        <w:rPr>
          <w:rFonts w:hint="default" w:ascii="Times New Roman" w:hAnsi="Times New Roman" w:eastAsia="黑体" w:cs="Times New Roman"/>
          <w:bCs/>
          <w:color w:val="auto"/>
          <w:sz w:val="32"/>
          <w:szCs w:val="32"/>
          <w:highlight w:val="none"/>
          <w:lang w:eastAsia="zh-CN"/>
        </w:rPr>
      </w:pPr>
    </w:p>
    <w:p w14:paraId="46034161">
      <w:pPr>
        <w:rPr>
          <w:rFonts w:hint="default" w:ascii="Times New Roman" w:hAnsi="Times New Roman" w:eastAsia="黑体" w:cs="Times New Roman"/>
          <w:bCs/>
          <w:color w:val="auto"/>
          <w:sz w:val="32"/>
          <w:szCs w:val="32"/>
          <w:highlight w:val="none"/>
          <w:lang w:eastAsia="zh-CN"/>
        </w:rPr>
      </w:pPr>
    </w:p>
    <w:p w14:paraId="41C70C66">
      <w:pPr>
        <w:pStyle w:val="2"/>
        <w:rPr>
          <w:rFonts w:hint="default" w:ascii="Times New Roman" w:hAnsi="Times New Roman" w:eastAsia="黑体" w:cs="Times New Roman"/>
          <w:bCs/>
          <w:color w:val="auto"/>
          <w:sz w:val="32"/>
          <w:szCs w:val="32"/>
          <w:highlight w:val="none"/>
          <w:lang w:eastAsia="zh-CN"/>
        </w:rPr>
      </w:pPr>
    </w:p>
    <w:p w14:paraId="65224DAF">
      <w:pPr>
        <w:rPr>
          <w:rFonts w:hint="default" w:ascii="Times New Roman" w:hAnsi="Times New Roman" w:eastAsia="黑体" w:cs="Times New Roman"/>
          <w:bCs/>
          <w:color w:val="auto"/>
          <w:sz w:val="32"/>
          <w:szCs w:val="32"/>
          <w:highlight w:val="none"/>
          <w:lang w:eastAsia="zh-CN"/>
        </w:rPr>
      </w:pPr>
    </w:p>
    <w:p w14:paraId="3D55B826">
      <w:pPr>
        <w:pStyle w:val="2"/>
        <w:rPr>
          <w:rFonts w:hint="default" w:ascii="Times New Roman" w:hAnsi="Times New Roman" w:eastAsia="黑体" w:cs="Times New Roman"/>
          <w:bCs/>
          <w:color w:val="auto"/>
          <w:sz w:val="32"/>
          <w:szCs w:val="32"/>
          <w:highlight w:val="none"/>
          <w:lang w:eastAsia="zh-CN"/>
        </w:rPr>
      </w:pPr>
    </w:p>
    <w:p w14:paraId="70953978">
      <w:pPr>
        <w:rPr>
          <w:rFonts w:hint="default" w:ascii="Times New Roman" w:hAnsi="Times New Roman" w:eastAsia="黑体" w:cs="Times New Roman"/>
          <w:bCs/>
          <w:color w:val="auto"/>
          <w:sz w:val="32"/>
          <w:szCs w:val="32"/>
          <w:highlight w:val="none"/>
          <w:lang w:eastAsia="zh-CN"/>
        </w:rPr>
      </w:pPr>
    </w:p>
    <w:p w14:paraId="70B947D1">
      <w:pPr>
        <w:pStyle w:val="2"/>
        <w:rPr>
          <w:rFonts w:hint="default" w:ascii="Times New Roman" w:hAnsi="Times New Roman" w:eastAsia="黑体" w:cs="Times New Roman"/>
          <w:bCs/>
          <w:color w:val="auto"/>
          <w:sz w:val="32"/>
          <w:szCs w:val="32"/>
          <w:highlight w:val="none"/>
          <w:lang w:eastAsia="zh-CN"/>
        </w:rPr>
      </w:pPr>
    </w:p>
    <w:p w14:paraId="21C2835A">
      <w:pPr>
        <w:rPr>
          <w:rFonts w:hint="default" w:ascii="Times New Roman" w:hAnsi="Times New Roman" w:eastAsia="黑体" w:cs="Times New Roman"/>
          <w:bCs/>
          <w:color w:val="auto"/>
          <w:sz w:val="32"/>
          <w:szCs w:val="32"/>
          <w:highlight w:val="none"/>
          <w:lang w:eastAsia="zh-CN"/>
        </w:rPr>
      </w:pPr>
    </w:p>
    <w:p w14:paraId="24E3600D">
      <w:pPr>
        <w:pStyle w:val="2"/>
        <w:rPr>
          <w:rFonts w:hint="default" w:ascii="Times New Roman" w:hAnsi="Times New Roman" w:eastAsia="黑体" w:cs="Times New Roman"/>
          <w:bCs/>
          <w:color w:val="auto"/>
          <w:sz w:val="32"/>
          <w:szCs w:val="32"/>
          <w:highlight w:val="none"/>
          <w:lang w:eastAsia="zh-CN"/>
        </w:rPr>
      </w:pPr>
    </w:p>
    <w:p w14:paraId="66FC34C4">
      <w:pPr>
        <w:rPr>
          <w:rFonts w:hint="default" w:ascii="Times New Roman" w:hAnsi="Times New Roman" w:eastAsia="黑体" w:cs="Times New Roman"/>
          <w:bCs/>
          <w:color w:val="auto"/>
          <w:sz w:val="32"/>
          <w:szCs w:val="32"/>
          <w:highlight w:val="none"/>
          <w:lang w:eastAsia="zh-CN"/>
        </w:rPr>
      </w:pPr>
    </w:p>
    <w:p w14:paraId="02041F69">
      <w:pPr>
        <w:pStyle w:val="2"/>
        <w:rPr>
          <w:rFonts w:hint="default" w:ascii="Times New Roman" w:hAnsi="Times New Roman" w:eastAsia="黑体" w:cs="Times New Roman"/>
          <w:bCs/>
          <w:color w:val="auto"/>
          <w:sz w:val="32"/>
          <w:szCs w:val="32"/>
          <w:highlight w:val="none"/>
          <w:lang w:eastAsia="zh-CN"/>
        </w:rPr>
      </w:pPr>
    </w:p>
    <w:p w14:paraId="032E4CD1">
      <w:pPr>
        <w:rPr>
          <w:rFonts w:hint="default" w:ascii="Times New Roman" w:hAnsi="Times New Roman" w:eastAsia="黑体" w:cs="Times New Roman"/>
          <w:bCs/>
          <w:color w:val="auto"/>
          <w:sz w:val="32"/>
          <w:szCs w:val="32"/>
          <w:highlight w:val="none"/>
          <w:lang w:eastAsia="zh-CN"/>
        </w:rPr>
      </w:pPr>
    </w:p>
    <w:p w14:paraId="2587C752">
      <w:pPr>
        <w:pStyle w:val="2"/>
        <w:rPr>
          <w:rFonts w:hint="default" w:ascii="Times New Roman" w:hAnsi="Times New Roman" w:eastAsia="黑体" w:cs="Times New Roman"/>
          <w:bCs/>
          <w:color w:val="auto"/>
          <w:sz w:val="32"/>
          <w:szCs w:val="32"/>
          <w:highlight w:val="none"/>
          <w:lang w:eastAsia="zh-CN"/>
        </w:rPr>
      </w:pPr>
    </w:p>
    <w:p w14:paraId="01971813">
      <w:pPr>
        <w:rPr>
          <w:rFonts w:hint="default" w:ascii="Times New Roman" w:hAnsi="Times New Roman" w:eastAsia="黑体" w:cs="Times New Roman"/>
          <w:bCs/>
          <w:color w:val="auto"/>
          <w:sz w:val="32"/>
          <w:szCs w:val="32"/>
          <w:highlight w:val="none"/>
          <w:lang w:eastAsia="zh-CN"/>
        </w:rPr>
      </w:pPr>
    </w:p>
    <w:p w14:paraId="05F1BC6E">
      <w:pPr>
        <w:pStyle w:val="2"/>
        <w:rPr>
          <w:rFonts w:hint="default" w:ascii="Times New Roman" w:hAnsi="Times New Roman" w:eastAsia="黑体" w:cs="Times New Roman"/>
          <w:bCs/>
          <w:color w:val="auto"/>
          <w:sz w:val="32"/>
          <w:szCs w:val="32"/>
          <w:highlight w:val="none"/>
          <w:lang w:eastAsia="zh-CN"/>
        </w:rPr>
      </w:pPr>
    </w:p>
    <w:p w14:paraId="4B82D264">
      <w:pPr>
        <w:rPr>
          <w:rFonts w:hint="default"/>
          <w:lang w:eastAsia="zh-CN"/>
        </w:rPr>
      </w:pPr>
    </w:p>
    <w:p w14:paraId="1D0F6B04">
      <w:pPr>
        <w:pStyle w:val="2"/>
        <w:rPr>
          <w:rFonts w:hint="default" w:ascii="Times New Roman" w:hAnsi="Times New Roman" w:eastAsia="黑体" w:cs="Times New Roman"/>
          <w:bCs/>
          <w:color w:val="auto"/>
          <w:sz w:val="32"/>
          <w:szCs w:val="32"/>
          <w:highlight w:val="none"/>
          <w:lang w:eastAsia="zh-CN"/>
        </w:rPr>
      </w:pPr>
    </w:p>
    <w:p w14:paraId="51FEACC3">
      <w:pPr>
        <w:rPr>
          <w:rFonts w:hint="default"/>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D221870">
      <w:pPr>
        <w:rPr>
          <w:rFonts w:hint="eastAsia" w:ascii="Times New Roman" w:hAnsi="Times New Roman" w:eastAsia="黑体" w:cs="Times New Roman"/>
          <w:bCs/>
          <w:color w:val="auto"/>
          <w:sz w:val="32"/>
          <w:szCs w:val="32"/>
          <w:highlight w:val="none"/>
          <w:lang w:val="en-US" w:eastAsia="zh-CN"/>
        </w:rPr>
      </w:pPr>
      <w:r>
        <w:rPr>
          <w:rFonts w:hint="eastAsia" w:ascii="Times New Roman" w:hAnsi="Times New Roman" w:eastAsia="黑体" w:cs="Times New Roman"/>
          <w:bCs/>
          <w:color w:val="auto"/>
          <w:sz w:val="32"/>
          <w:szCs w:val="32"/>
          <w:highlight w:val="none"/>
          <w:lang w:val="en-US" w:eastAsia="zh-CN"/>
        </w:rPr>
        <w:t>附件2</w:t>
      </w:r>
    </w:p>
    <w:p w14:paraId="563DFF52">
      <w:pPr>
        <w:jc w:val="center"/>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德阳高新区跃龙片区棚户区改造（二期）A区建设项目一标段、二标段“打捆”设计施工总承包项目防火门及防火卷帘采购市场调研报价清单</w:t>
      </w:r>
    </w:p>
    <w:tbl>
      <w:tblPr>
        <w:tblStyle w:val="3"/>
        <w:tblW w:w="14708" w:type="dxa"/>
        <w:tblInd w:w="-24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1242"/>
        <w:gridCol w:w="5537"/>
        <w:gridCol w:w="1944"/>
        <w:gridCol w:w="1417"/>
        <w:gridCol w:w="623"/>
        <w:gridCol w:w="859"/>
        <w:gridCol w:w="919"/>
        <w:gridCol w:w="910"/>
        <w:gridCol w:w="505"/>
      </w:tblGrid>
      <w:tr w14:paraId="4B1CE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5"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FB3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EBD7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工程名称</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65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项目特征</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CCB4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工作内容</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60D9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计量规则</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BB2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计量单位</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4120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暂定工程量</w:t>
            </w:r>
          </w:p>
        </w:tc>
        <w:tc>
          <w:tcPr>
            <w:tcW w:w="9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A68C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不含税单价（元）</w:t>
            </w:r>
          </w:p>
        </w:tc>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71EF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不含税合价（元）</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231FC">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26140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2"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985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39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成品特级防火卷门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FDD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1.门类型:成品特级防火卷闸门含五金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2.启动装置品种、规格：电动启动装置，规格综合考虑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3.耐火性能：耐火等级为F3，其背火面温升为判定条件耐火极限不低于3小时，需同时满足耐火完整性、隔热性、防烟性能。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4.特级无机纤维复合防火卷帘：无机耐火布、硅酸铝纤维毯、防辐射布和装饰布经高温线缝制而成，双面用镀锌钢制条夹制，确保帘布的抗风强度，底箱封板为钢制镀锌，厚度≥0.8mm，无接缝。</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5.卷轴：无缝钢管，管壁外经除锈防腐处理；导轨：钢制镀锌,掩埋型≥1.5mm厚、外露型≥3.0mm厚，一次成型。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6.卷帘门其强度、热工、防火性、隔声性、气密性、水密性、安全性及嵌缝、收口等均应满足设计及国家规范要求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7.五金及配件（执手、锁具、拉手、合页、门吸等）、紧固件、密封材料、灌浆、 塞缝、埋件、连接件等辅材包括在综合单价中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8.投标人在投标报价中，应把深化设计及深化设计引起的其他增加的费用考虑在综合单价中，不再计取任何费用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9.其他：满足设计及施工验收规范要求</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4950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1.现场提前测量复核洞口尺寸、深化完善设计图纸，处理洞口使之达到安装要求;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2.制作、运输、安装（具体施工工艺、施工步骤的工作内容及其相关所涉及的配合服务工作。）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BF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按洞口尺寸计算，卷筒卷起部分含在综合单价中</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AA1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175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379.1</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0ED8CB">
            <w:pPr>
              <w:rPr>
                <w:rFonts w:hint="eastAsia" w:ascii="Arial" w:hAnsi="Arial" w:cs="Arial"/>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84CEB1">
            <w:pPr>
              <w:rPr>
                <w:rFonts w:hint="default" w:ascii="Arial" w:hAnsi="Arial" w:cs="Arial"/>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434E3784">
            <w:pPr>
              <w:rPr>
                <w:rFonts w:hint="default" w:ascii="Arial" w:hAnsi="Arial" w:cs="Arial"/>
                <w:i w:val="0"/>
                <w:iCs w:val="0"/>
                <w:color w:val="000000"/>
                <w:sz w:val="20"/>
                <w:szCs w:val="20"/>
                <w:u w:val="none"/>
              </w:rPr>
            </w:pPr>
          </w:p>
        </w:tc>
      </w:tr>
      <w:tr w14:paraId="74D92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1C4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45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成品甲级钢质防火门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54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1.门代号及洞口尺寸：成品甲级钢质防火门，洞口尺寸综合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2.闭门器、顺序器、门锁、五金配件、门框、门套等包括在综合单价中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3.安装闭门器和顺序器以及常开的防火门须安装的信号控制关闭和反馈装置的费用综合考虑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4.防火门的门框灌浆、缝隙密封等工序的相关费用在综合单价中考虑，无门耳板时用耐候密封胶收口。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5.型材厚度、规格：门框钢板 ≥1.2mm，铰链板 ≥3.0mm，门扇面板 ≥0.8mm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不带螺孔的加固件 ≥1.2mm，带螺孔的加固件 ≥3.0mm，填充料为A1级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6.由专业厂家制做，如需二次深化设计,须经建设单位认可后方可实施,综合考虑此费用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7.防火门须采用消防审批部门认可的产品，耐火极限应符合国家相关质量检验标准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8.运距由投标人自行考虑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9.其他：满足设计、相关规范及合同要求</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11A6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1.现场提前测量复核洞口尺寸、深化完善设计图纸，处理洞口使之达到安装要求;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2.制作、运输、安装（具体施工工艺、施工步骤的工作内容及其相关所涉及的配合服务工作。）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F82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按图纸尺寸以面积计算，且不超过图示设计洞口尺寸计算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47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7EF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603.68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51F8D56">
            <w:pPr>
              <w:rPr>
                <w:rFonts w:hint="default" w:ascii="Arial" w:hAnsi="Arial" w:cs="Arial"/>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E7B21A4">
            <w:pPr>
              <w:rPr>
                <w:rFonts w:hint="default" w:ascii="Arial" w:hAnsi="Arial" w:cs="Arial"/>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24350DF">
            <w:pPr>
              <w:rPr>
                <w:rFonts w:hint="default" w:ascii="Arial" w:hAnsi="Arial" w:cs="Arial"/>
                <w:i w:val="0"/>
                <w:iCs w:val="0"/>
                <w:color w:val="000000"/>
                <w:sz w:val="20"/>
                <w:szCs w:val="20"/>
                <w:u w:val="none"/>
              </w:rPr>
            </w:pPr>
          </w:p>
        </w:tc>
      </w:tr>
      <w:tr w14:paraId="157DB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44"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F8C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B0D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成品乙级钢质防火门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CA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1.门代号及洞口尺寸：成品乙级钢质防火门，洞口尺寸综合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2.闭门器、顺序器、门锁、五金配件、门框、门套等包括在综合单价中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3.安装闭门器和顺序器以及常开的防火门须安装的信号控制关闭和反馈装置的费用综合考虑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4.防火门的门框灌浆、缝隙密封等工序的相关费用在综合单价中考虑，无门耳板时用耐候密封胶收口。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5.型材厚度、规格：门框钢板 ≥1.2mm，铰链板 ≥3.0mm，门扇面板 ≥0.8mm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不带螺孔的加固件 ≥1.2mm，带螺孔的加固件 ≥3.0mm，填充料为A1级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6.由专业厂家制做，如需二次深化设计,须经建设单位认可后方可实施,综合考虑此费用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7.防火门须采用消防审批部门认可的产品，耐火极限应符合国家相关质量检验标准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8.运距由投标人自行考虑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9.其他：满足设计、相关规范及合同要求</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D50E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1.现场提前测量复核洞口尺寸、深化完善设计图纸，处理洞口使之达到安装要求;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2.制作、运输、安装（具体施工工艺、施工步骤的工作内容及其相关所涉及的配合服务工作。）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9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按图纸尺寸以面积计算，且不超过图示设计洞口尺寸计算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43C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937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68.33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B94B0B">
            <w:pPr>
              <w:rPr>
                <w:rFonts w:hint="default" w:ascii="Arial" w:hAnsi="Arial" w:cs="Arial"/>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2B645A0C">
            <w:pPr>
              <w:rPr>
                <w:rFonts w:hint="default" w:ascii="Arial" w:hAnsi="Arial" w:cs="Arial"/>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70C9C1">
            <w:pPr>
              <w:rPr>
                <w:rFonts w:hint="default" w:ascii="Arial" w:hAnsi="Arial" w:cs="Arial"/>
                <w:i w:val="0"/>
                <w:iCs w:val="0"/>
                <w:color w:val="000000"/>
                <w:sz w:val="20"/>
                <w:szCs w:val="20"/>
                <w:u w:val="none"/>
              </w:rPr>
            </w:pPr>
          </w:p>
        </w:tc>
      </w:tr>
      <w:tr w14:paraId="1206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1"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1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2D9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成品甲级钢框木质防火门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B49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1.门代号及洞口尺寸：成品乙级钢质防火门，洞口尺寸综合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2.闭门器、顺序器、门锁、五金配件、门框、门套等包括在综合单价中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3.安装闭门器和顺序器以及常开的防火门须安装的信号控制关闭和反馈装置的费用综合考虑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4.防火门的门框灌浆、缝隙密封等工序的相关费用在综合单价中考虑，无门耳板时用耐候密封胶收口。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5.型材厚度、规格：门扇厚度 ≥50mm，门框钢板 ≥1.2mm，门扇饰面板 ≥3.0mm，防火板厚度5mm，盖缝板厚度0.8mm，门扇骨架厚度53mm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6.由专业厂家制做，如需二次深化设计,须经建设单位认可后方可实施,综合考虑此费用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7.防火门须采用消防审批部门认可的产品，耐火极限≥1.2H，且应符合国家相关质量检验标准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8.运距由投标人自行考虑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9.其他：满足设计、相关规范及合同要求</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8C8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1.现场提前测量复核洞口尺寸、深化完善设计图纸，处理洞口使之达到安装要求;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2.制作、运输、安装（具体施工工艺、施工步骤的工作内容及其相关所涉及的配合服务工作。）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F4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按图纸尺寸以面积计算，且不超过图示设计洞口尺寸计算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16E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091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213.38</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D747D">
            <w:pPr>
              <w:rPr>
                <w:rFonts w:hint="default" w:ascii="Arial" w:hAnsi="Arial" w:cs="Arial"/>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69F554">
            <w:pPr>
              <w:rPr>
                <w:rFonts w:hint="default" w:ascii="Arial" w:hAnsi="Arial" w:cs="Arial"/>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85272F">
            <w:pPr>
              <w:rPr>
                <w:rFonts w:hint="default" w:ascii="Arial" w:hAnsi="Arial" w:cs="Arial"/>
                <w:i w:val="0"/>
                <w:iCs w:val="0"/>
                <w:color w:val="000000"/>
                <w:sz w:val="20"/>
                <w:szCs w:val="20"/>
                <w:u w:val="none"/>
              </w:rPr>
            </w:pPr>
          </w:p>
        </w:tc>
      </w:tr>
      <w:tr w14:paraId="3BCA74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9" w:hRule="atLeast"/>
        </w:trPr>
        <w:tc>
          <w:tcPr>
            <w:tcW w:w="7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4D5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4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41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成品乙级钢框木质防火门</w:t>
            </w:r>
          </w:p>
        </w:tc>
        <w:tc>
          <w:tcPr>
            <w:tcW w:w="5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6D6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1.门代号及洞口尺寸：成品乙级钢质防火门，洞口尺寸综合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2.闭门器、顺序器、门锁、五金配件、门框、门套等包括在综合单价中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3.安装闭门器和顺序器以及常开的防火门须安装的信号控制关闭和反馈装置的费用综合考虑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4.防火门的门框灌浆、缝隙密封等工序的相关费用在综合单价中考虑，无门耳板时用</w:t>
            </w:r>
            <w:bookmarkStart w:id="0" w:name="_GoBack"/>
            <w:bookmarkEnd w:id="0"/>
            <w:r>
              <w:rPr>
                <w:rFonts w:hint="eastAsia" w:ascii="宋体" w:hAnsi="宋体" w:eastAsia="宋体" w:cs="宋体"/>
                <w:i w:val="0"/>
                <w:iCs w:val="0"/>
                <w:color w:val="000000"/>
                <w:kern w:val="0"/>
                <w:sz w:val="20"/>
                <w:szCs w:val="20"/>
                <w:u w:val="none"/>
                <w:lang w:val="en-US" w:eastAsia="zh-CN" w:bidi="ar"/>
              </w:rPr>
              <w:t>耐候密封胶收口。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5.型材厚度、规格：门扇厚度 ≥50mm，门框钢板 ≥1.2mm，门扇饰面板 ≥3.0mm，防火板厚度5mm，盖缝板厚度0.8mm，门扇骨架厚度48mm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6.由专业厂家制做，如需二次深化设计,须经建设单位认可后方可实施,综合考虑此费用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7.防火门须采用消防审批部门认可的产品，耐火极限≥0.9H，且应符合国家相关质量检验标准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8.运距由投标人自行考虑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9.其他：满足设计、相关规范及合同要求</w:t>
            </w:r>
          </w:p>
        </w:tc>
        <w:tc>
          <w:tcPr>
            <w:tcW w:w="19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379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1.现场提前测量复核洞口尺寸、深化完善设计图纸，处理洞口使之达到安装要求;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2.制作、运输、安装（具体施工工艺、施工步骤的工作内容及其相关所涉及的配合服务工作。）</w:t>
            </w:r>
          </w:p>
        </w:tc>
        <w:tc>
          <w:tcPr>
            <w:tcW w:w="14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F81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按图纸尺寸以面积计算，且不超过图示设计洞口尺寸计算</w:t>
            </w:r>
          </w:p>
        </w:tc>
        <w:tc>
          <w:tcPr>
            <w:tcW w:w="62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4BA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A77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3173.9</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09B0D2">
            <w:pPr>
              <w:rPr>
                <w:rFonts w:hint="default" w:ascii="Arial" w:hAnsi="Arial" w:cs="Arial"/>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0B79AE">
            <w:pPr>
              <w:rPr>
                <w:rFonts w:hint="default" w:ascii="Arial" w:hAnsi="Arial" w:cs="Arial"/>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6E7B35">
            <w:pPr>
              <w:rPr>
                <w:rFonts w:hint="default" w:ascii="Arial" w:hAnsi="Arial" w:cs="Arial"/>
                <w:i w:val="0"/>
                <w:iCs w:val="0"/>
                <w:color w:val="000000"/>
                <w:sz w:val="20"/>
                <w:szCs w:val="20"/>
                <w:u w:val="none"/>
              </w:rPr>
            </w:pPr>
          </w:p>
        </w:tc>
      </w:tr>
      <w:tr w14:paraId="365C36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3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B7A3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不税合计金额</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98927">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B3632B">
            <w:pPr>
              <w:jc w:val="center"/>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8C17A">
            <w:pPr>
              <w:jc w:val="center"/>
              <w:rPr>
                <w:rFonts w:hint="eastAsia" w:ascii="宋体" w:hAnsi="宋体" w:eastAsia="宋体" w:cs="宋体"/>
                <w:i w:val="0"/>
                <w:iCs w:val="0"/>
                <w:color w:val="000000"/>
                <w:sz w:val="20"/>
                <w:szCs w:val="20"/>
                <w:u w:val="none"/>
              </w:rPr>
            </w:pPr>
          </w:p>
        </w:tc>
      </w:tr>
      <w:tr w14:paraId="0C359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3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5DE11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税金（税率</w:t>
            </w:r>
            <w:r>
              <w:rPr>
                <w:rFonts w:hint="eastAsia" w:ascii="宋体" w:hAnsi="宋体" w:eastAsia="宋体" w:cs="宋体"/>
                <w:i w:val="0"/>
                <w:iCs w:val="0"/>
                <w:color w:val="000000"/>
                <w:kern w:val="0"/>
                <w:sz w:val="20"/>
                <w:szCs w:val="20"/>
                <w:highlight w:val="none"/>
                <w:u w:val="none"/>
                <w:lang w:val="en-US" w:eastAsia="zh-CN" w:bidi="ar"/>
              </w:rPr>
              <w:t>13%）</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E2E0D">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B1DD">
            <w:pPr>
              <w:jc w:val="center"/>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E8AC7">
            <w:pPr>
              <w:jc w:val="center"/>
              <w:rPr>
                <w:rFonts w:hint="eastAsia" w:ascii="宋体" w:hAnsi="宋体" w:eastAsia="宋体" w:cs="宋体"/>
                <w:i w:val="0"/>
                <w:iCs w:val="0"/>
                <w:color w:val="000000"/>
                <w:sz w:val="20"/>
                <w:szCs w:val="20"/>
                <w:u w:val="none"/>
              </w:rPr>
            </w:pPr>
          </w:p>
        </w:tc>
      </w:tr>
      <w:tr w14:paraId="3BC4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1237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7F39B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含税合计金额</w:t>
            </w:r>
          </w:p>
        </w:tc>
        <w:tc>
          <w:tcPr>
            <w:tcW w:w="9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0B40EE">
            <w:pPr>
              <w:jc w:val="center"/>
              <w:rPr>
                <w:rFonts w:hint="eastAsia" w:ascii="宋体" w:hAnsi="宋体" w:eastAsia="宋体" w:cs="宋体"/>
                <w:i w:val="0"/>
                <w:iCs w:val="0"/>
                <w:color w:val="000000"/>
                <w:sz w:val="20"/>
                <w:szCs w:val="20"/>
                <w:u w:val="none"/>
              </w:rPr>
            </w:pPr>
          </w:p>
        </w:tc>
        <w:tc>
          <w:tcPr>
            <w:tcW w:w="9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4BBF0">
            <w:pPr>
              <w:jc w:val="center"/>
              <w:rPr>
                <w:rFonts w:hint="eastAsia" w:ascii="宋体" w:hAnsi="宋体" w:eastAsia="宋体" w:cs="宋体"/>
                <w:i w:val="0"/>
                <w:iCs w:val="0"/>
                <w:color w:val="000000"/>
                <w:sz w:val="20"/>
                <w:szCs w:val="20"/>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10E9">
            <w:pPr>
              <w:jc w:val="center"/>
              <w:rPr>
                <w:rFonts w:hint="eastAsia" w:ascii="宋体" w:hAnsi="宋体" w:eastAsia="宋体" w:cs="宋体"/>
                <w:i w:val="0"/>
                <w:iCs w:val="0"/>
                <w:color w:val="000000"/>
                <w:sz w:val="20"/>
                <w:szCs w:val="20"/>
                <w:u w:val="none"/>
              </w:rPr>
            </w:pPr>
          </w:p>
        </w:tc>
      </w:tr>
      <w:tr w14:paraId="33F24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72" w:hRule="atLeast"/>
        </w:trPr>
        <w:tc>
          <w:tcPr>
            <w:tcW w:w="14708"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29DF09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r>
              <w:rPr>
                <w:rStyle w:val="5"/>
                <w:rFonts w:eastAsia="宋体"/>
                <w:lang w:val="en-US" w:eastAsia="zh-CN" w:bidi="ar"/>
              </w:rPr>
              <w:br w:type="textWrapping"/>
            </w:r>
            <w:r>
              <w:rPr>
                <w:rStyle w:val="5"/>
                <w:rFonts w:eastAsia="宋体"/>
                <w:lang w:val="en-US" w:eastAsia="zh-CN" w:bidi="ar"/>
              </w:rPr>
              <w:t>1</w:t>
            </w:r>
            <w:r>
              <w:rPr>
                <w:rFonts w:hint="eastAsia" w:ascii="宋体" w:hAnsi="宋体" w:eastAsia="宋体" w:cs="宋体"/>
                <w:i w:val="0"/>
                <w:iCs w:val="0"/>
                <w:color w:val="000000"/>
                <w:kern w:val="0"/>
                <w:sz w:val="20"/>
                <w:szCs w:val="20"/>
                <w:u w:val="none"/>
                <w:lang w:val="en-US" w:eastAsia="zh-CN" w:bidi="ar"/>
              </w:rPr>
              <w:t>、上述合计金额包含人工费、材料费（甲供材除外）、机械费、管理费、利润、为自有劳务人员缴纳的各种社会保险、施工措施费、夜间及冬雨季施工增加费、超高费、赶工费、材料倒运费、二次及多次进出场费，个人安全防护费</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安全帽、安全带、反光背心、防护手套、护目镜、防护口罩、雨衣、雨鞋等</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医疗费、人员食宿费、乙方在报价时预测到的各种风险费用和各种调整变化费用、施工现场二级配电箱以下的临时用电线路安装及维护、成品保护费、现场清理、二次设计深化，配合甲方完成政府有关部门、建设单位、监理、过控等验收工作并完成验收记录等费用。</w:t>
            </w:r>
            <w:r>
              <w:rPr>
                <w:rStyle w:val="5"/>
                <w:rFonts w:eastAsia="宋体"/>
                <w:lang w:val="en-US" w:eastAsia="zh-CN" w:bidi="ar"/>
              </w:rPr>
              <w:br w:type="textWrapping"/>
            </w:r>
            <w:r>
              <w:rPr>
                <w:rStyle w:val="5"/>
                <w:rFonts w:eastAsia="宋体"/>
                <w:lang w:val="en-US" w:eastAsia="zh-CN" w:bidi="ar"/>
              </w:rPr>
              <w:t>2</w:t>
            </w:r>
            <w:r>
              <w:rPr>
                <w:rFonts w:hint="eastAsia" w:ascii="宋体" w:hAnsi="宋体" w:eastAsia="宋体" w:cs="宋体"/>
                <w:i w:val="0"/>
                <w:iCs w:val="0"/>
                <w:color w:val="000000"/>
                <w:kern w:val="0"/>
                <w:sz w:val="20"/>
                <w:szCs w:val="20"/>
                <w:u w:val="none"/>
                <w:lang w:val="en-US" w:eastAsia="zh-CN" w:bidi="ar"/>
              </w:rPr>
              <w:t>、乙方负责承包范围内的工程资料编制，并配合完成资料移交工作。</w:t>
            </w:r>
            <w:r>
              <w:rPr>
                <w:rStyle w:val="5"/>
                <w:rFonts w:eastAsia="宋体"/>
                <w:lang w:val="en-US" w:eastAsia="zh-CN" w:bidi="ar"/>
              </w:rPr>
              <w:br w:type="textWrapping"/>
            </w:r>
            <w:r>
              <w:rPr>
                <w:rStyle w:val="5"/>
                <w:rFonts w:eastAsia="宋体"/>
                <w:lang w:val="en-US" w:eastAsia="zh-CN" w:bidi="ar"/>
              </w:rPr>
              <w:t>3</w:t>
            </w:r>
            <w:r>
              <w:rPr>
                <w:rFonts w:hint="eastAsia" w:ascii="宋体" w:hAnsi="宋体" w:eastAsia="宋体" w:cs="宋体"/>
                <w:i w:val="0"/>
                <w:iCs w:val="0"/>
                <w:color w:val="000000"/>
                <w:kern w:val="0"/>
                <w:sz w:val="20"/>
                <w:szCs w:val="20"/>
                <w:u w:val="none"/>
                <w:lang w:val="en-US" w:eastAsia="zh-CN" w:bidi="ar"/>
              </w:rPr>
              <w:t>、无论甲供材料还是乙方自购材料、机械，入场后及过程中按甲方要求及时堆码在指定位置，如不能满足甲方要求，罚款</w:t>
            </w:r>
            <w:r>
              <w:rPr>
                <w:rStyle w:val="5"/>
                <w:rFonts w:eastAsia="宋体"/>
                <w:lang w:val="en-US" w:eastAsia="zh-CN" w:bidi="ar"/>
              </w:rPr>
              <w:t>1000</w:t>
            </w:r>
            <w:r>
              <w:rPr>
                <w:rFonts w:hint="eastAsia" w:ascii="宋体" w:hAnsi="宋体" w:eastAsia="宋体" w:cs="宋体"/>
                <w:i w:val="0"/>
                <w:iCs w:val="0"/>
                <w:color w:val="000000"/>
                <w:kern w:val="0"/>
                <w:sz w:val="20"/>
                <w:szCs w:val="20"/>
                <w:u w:val="none"/>
                <w:lang w:val="en-US" w:eastAsia="zh-CN" w:bidi="ar"/>
              </w:rPr>
              <w:t>元</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次</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处。</w:t>
            </w:r>
            <w:r>
              <w:rPr>
                <w:rStyle w:val="5"/>
                <w:rFonts w:eastAsia="宋体"/>
                <w:lang w:val="en-US" w:eastAsia="zh-CN" w:bidi="ar"/>
              </w:rPr>
              <w:br w:type="textWrapping"/>
            </w:r>
            <w:r>
              <w:rPr>
                <w:rStyle w:val="5"/>
                <w:rFonts w:eastAsia="宋体"/>
                <w:lang w:val="en-US" w:eastAsia="zh-CN" w:bidi="ar"/>
              </w:rPr>
              <w:t>4</w:t>
            </w:r>
            <w:r>
              <w:rPr>
                <w:rFonts w:hint="eastAsia" w:ascii="宋体" w:hAnsi="宋体" w:eastAsia="宋体" w:cs="宋体"/>
                <w:i w:val="0"/>
                <w:iCs w:val="0"/>
                <w:color w:val="000000"/>
                <w:kern w:val="0"/>
                <w:sz w:val="20"/>
                <w:szCs w:val="20"/>
                <w:u w:val="none"/>
                <w:lang w:val="en-US" w:eastAsia="zh-CN" w:bidi="ar"/>
              </w:rPr>
              <w:t>、若乙方不能按甲方要求完成综合单价中包含的内容，甲方可安排其他单位代工，所发生的一切费用，均由从乙方双倍扣除</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比如：若乙方不能按甲方要求及时打扫卫生，甲方可安排其他单位代工，所发生的一切费用，均由从乙方双倍扣除</w:t>
            </w:r>
            <w:r>
              <w:rPr>
                <w:rStyle w:val="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w:t>
            </w:r>
            <w:r>
              <w:rPr>
                <w:rStyle w:val="5"/>
                <w:rFonts w:eastAsia="宋体"/>
                <w:lang w:val="en-US" w:eastAsia="zh-CN" w:bidi="ar"/>
              </w:rPr>
              <w:br w:type="textWrapping"/>
            </w:r>
            <w:r>
              <w:rPr>
                <w:rStyle w:val="5"/>
                <w:rFonts w:eastAsia="宋体"/>
                <w:lang w:val="en-US" w:eastAsia="zh-CN" w:bidi="ar"/>
              </w:rPr>
              <w:t>5</w:t>
            </w:r>
            <w:r>
              <w:rPr>
                <w:rFonts w:hint="eastAsia" w:ascii="宋体" w:hAnsi="宋体" w:eastAsia="宋体" w:cs="宋体"/>
                <w:i w:val="0"/>
                <w:iCs w:val="0"/>
                <w:color w:val="000000"/>
                <w:kern w:val="0"/>
                <w:sz w:val="20"/>
                <w:szCs w:val="20"/>
                <w:u w:val="none"/>
                <w:lang w:val="en-US" w:eastAsia="zh-CN" w:bidi="ar"/>
              </w:rPr>
              <w:t>、施工期间任何人工、材料、设备、机械价格涨跌的可能和相关因素，乙方承诺市场风险完全由其自行承担。</w:t>
            </w:r>
            <w:r>
              <w:rPr>
                <w:rStyle w:val="5"/>
                <w:rFonts w:eastAsia="宋体"/>
                <w:lang w:val="en-US" w:eastAsia="zh-CN" w:bidi="ar"/>
              </w:rPr>
              <w:br w:type="textWrapping"/>
            </w:r>
            <w:r>
              <w:rPr>
                <w:rStyle w:val="5"/>
                <w:rFonts w:eastAsia="宋体"/>
                <w:lang w:val="en-US" w:eastAsia="zh-CN" w:bidi="ar"/>
              </w:rPr>
              <w:t>6</w:t>
            </w:r>
            <w:r>
              <w:rPr>
                <w:rFonts w:hint="eastAsia" w:ascii="宋体" w:hAnsi="宋体" w:eastAsia="宋体" w:cs="宋体"/>
                <w:i w:val="0"/>
                <w:iCs w:val="0"/>
                <w:color w:val="000000"/>
                <w:kern w:val="0"/>
                <w:sz w:val="20"/>
                <w:szCs w:val="20"/>
                <w:u w:val="none"/>
                <w:lang w:val="en-US" w:eastAsia="zh-CN" w:bidi="ar"/>
              </w:rPr>
              <w:t>、以上工程量均为暂定量，实际工程量投标单位按照施工图纸自行考虑，且不得以甲方现场安排工序变化的原因，进行费用增加。</w:t>
            </w:r>
          </w:p>
        </w:tc>
      </w:tr>
    </w:tbl>
    <w:p w14:paraId="3BBA9F66">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p>
    <w:p w14:paraId="4BE03F7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 xml:space="preserve">单位名称：        </w:t>
      </w:r>
      <w:r>
        <w:rPr>
          <w:rFonts w:hint="eastAsia" w:ascii="宋体" w:hAnsi="宋体" w:cs="宋体"/>
          <w:i w:val="0"/>
          <w:iCs w:val="0"/>
          <w:color w:val="000000"/>
          <w:kern w:val="0"/>
          <w:sz w:val="20"/>
          <w:szCs w:val="20"/>
          <w:u w:val="none"/>
          <w:lang w:val="en-US" w:eastAsia="zh-CN" w:bidi="ar"/>
        </w:rPr>
        <w:t xml:space="preserve">             </w:t>
      </w:r>
      <w:r>
        <w:rPr>
          <w:rFonts w:hint="default" w:ascii="宋体" w:hAnsi="宋体" w:eastAsia="宋体" w:cs="宋体"/>
          <w:i w:val="0"/>
          <w:iCs w:val="0"/>
          <w:color w:val="000000"/>
          <w:kern w:val="0"/>
          <w:sz w:val="20"/>
          <w:szCs w:val="20"/>
          <w:u w:val="none"/>
          <w:lang w:val="en-US" w:eastAsia="zh-CN" w:bidi="ar"/>
        </w:rPr>
        <w:t xml:space="preserve">   （盖单位公章）</w:t>
      </w:r>
    </w:p>
    <w:p w14:paraId="52876FC7">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联系人：               </w:t>
      </w:r>
    </w:p>
    <w:p w14:paraId="5BC486E3">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联系电话：              </w:t>
      </w:r>
    </w:p>
    <w:p w14:paraId="42CD3B5A">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default" w:ascii="宋体" w:hAnsi="宋体" w:eastAsia="宋体" w:cs="宋体"/>
          <w:i w:val="0"/>
          <w:iCs w:val="0"/>
          <w:color w:val="000000"/>
          <w:kern w:val="0"/>
          <w:sz w:val="20"/>
          <w:szCs w:val="20"/>
          <w:u w:val="none"/>
          <w:lang w:val="en-US" w:eastAsia="zh-CN" w:bidi="ar"/>
        </w:rPr>
        <w:t>日  期：       年      月       日</w:t>
      </w:r>
    </w:p>
    <w:p w14:paraId="3591C7B8"/>
    <w:sectPr>
      <w:pgSz w:w="16838" w:h="11906" w:orient="landscape"/>
      <w:pgMar w:top="1800" w:right="1440" w:bottom="964"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534AF4"/>
    <w:rsid w:val="25534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character" w:customStyle="1" w:styleId="5">
    <w:name w:val="font51"/>
    <w:basedOn w:val="4"/>
    <w:qFormat/>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2026-07-03T08:59:00Z</dcterms:created>
  <dc:creator>三岁羡</dc:creator>
  <cp:lastModifiedBy>三岁羡</cp:lastModifiedBy>
  <dcterms:modified xsi:type="dcterms:W3CDTF">2026-07-03T08:59:32Z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A6851D43F8814D38AD475CC1E731CB27_11</vt:lpwstr>
  </property>
  <property fmtid="{D5CDD505-2E9C-101B-9397-08002B2CF9AE}" pid="4" name="KSOTemplateDocerSaveRecord">
    <vt:lpwstr>eyJoZGlkIjoiZjZlZTYxZGMxZWQ3NTVmYTllZGZjNjRlZGUxMTRhNDUiLCJ1c2VySWQiOiI0OTA4MDEyMzMifQ==</vt:lpwstr>
  </property>
</Properties>
</file>